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ZT-054 模型微调与数据安全</w:t>
      </w:r>
    </w:p>
    <w:p>
      <w:pPr>
        <w:jc w:val="both"/>
      </w:pPr>
      <w:r>
        <w:t>主要维度：法治意识；次要维度：职业伦理、社会责任、科学精神</w:t>
      </w:r>
    </w:p>
    <w:p>
      <w:pPr>
        <w:jc w:val="both"/>
      </w:pPr>
      <w:r>
        <w:t>课程：AI工程概览</w:t>
      </w:r>
    </w:p>
    <w:p>
      <w:pPr>
        <w:jc w:val="both"/>
      </w:pPr>
      <w:r>
        <w:t>知识点：微调；提示工程；脱敏；权限；数据保留</w:t>
      </w:r>
    </w:p>
    <w:p>
      <w:pPr>
        <w:jc w:val="both"/>
      </w:pPr>
      <w:r>
        <w:t>入口：#/topics/ZT-054；审核状态：待三级审核（未签审）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虚拟项目希望让模型理解内部术语，但拟上传的样本含有合成联系人和敏感业务字段。学生比较提示、检索和微调的必要性，先明确数据用途与最少范围，再设计脱敏、访问与删除方案，避免把训练便利置于信息保护之前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3—9分钟｜技术探究：用任务需求比较三种方案；标记样本风险，删去不必要字段，建立训练数据审批和删除验证清单。小组保留计算或运行过程；出现失败时先记录条件，再提出修订。</w:t>
      </w:r>
    </w:p>
    <w:p>
      <w:pPr>
        <w:jc w:val="both"/>
      </w:pPr>
      <w:r>
        <w:t>9—12分钟｜价值讨论：模型效果可能提高，是否就足以授权上传内部资料？怎样证明微调确实必要？每组至少给出一个支持理由和一个适用限制，以技术证据回答。</w:t>
      </w:r>
    </w:p>
    <w:p>
      <w:pPr>
        <w:jc w:val="both"/>
      </w:pPr>
      <w:r>
        <w:t>12—15分钟｜产出与互评：提交方案选择矩阵、脱敏样本、训练数据审批清单；同伴核对结论、来源和边界，教师收取修改后的记录。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学生产出：方案选择矩阵、脱敏样本、训练数据审批清单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不上传真实内部数据、不运行付费训练；脱敏与联邦学习不能单独保证合规或防止所有泄露。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原文件：F:\思政库视频资源\任务二思政案例\5个案例\8 思政案例 +《AI 工程概览》+微调 → 何时微调 → 微调vs提示工程的选择（案例八：模型微调与数据安全）+ 戴晓东 2026-03-28.docx</w:t>
      </w:r>
    </w:p>
    <w:p>
      <w:pPr>
        <w:jc w:val="both"/>
      </w:pPr>
      <w:r>
        <w:t>原题：8 思政案例 +《AI 工程概览》+微调 → 何时微调 → 微调vs提示工程的选择（案例八：模型微调与数据安全）+ 戴晓东 2026-03-28</w:t>
      </w:r>
    </w:p>
    <w:p>
      <w:pPr>
        <w:jc w:val="both"/>
      </w:pPr>
      <w:r>
        <w:t>定位：work/docx_evidence.json 第44条；抽取正文字符121—400（包含表格转写）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相关资源ID：ai-engineering-10078d94e1ce、ai-engineering-af2f50bc9968、ai-engineering-b16cc8e7a068、ai-engineering-ad75e943dd82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pStyle w:val="ListBullet"/>
      </w:pPr>
      <w:r>
        <w:t>核对课程字段原已为AI工程概览；专业归属待正式培养方案审核。</w:t>
      </w:r>
    </w:p>
    <w:p>
      <w:pPr>
        <w:jc w:val="both"/>
      </w:pPr>
      <w:r>
        <w:t>审核记录编号：SH-ZT-054；教师自检（前置）、专业初审、思政审核、学院评审委员会审定的签字人及日期均留空；未签审。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情境与课堂指导正文汉字数：469。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