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ZT-055 数据工程与AI可持续发展</w:t>
      </w:r>
    </w:p>
    <w:p>
      <w:pPr>
        <w:jc w:val="both"/>
      </w:pPr>
      <w:r>
        <w:t>主要维度：创新思维；次要维度：科学精神、社会责任、职业伦理</w:t>
      </w:r>
    </w:p>
    <w:p>
      <w:pPr>
        <w:jc w:val="both"/>
      </w:pPr>
      <w:r>
        <w:t>课程：AI工程概览</w:t>
      </w:r>
    </w:p>
    <w:p>
      <w:pPr>
        <w:jc w:val="both"/>
      </w:pPr>
      <w:r>
        <w:t>知识点：合成数据；质量控制；混合数据；模型退化</w:t>
      </w:r>
    </w:p>
    <w:p>
      <w:pPr>
        <w:jc w:val="both"/>
      </w:pPr>
      <w:r>
        <w:t>入口：#/topics/ZT-055；审核状态：待三级审核（未签审）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合成语料不断被用于生成下一批训练材料，表达逐渐趋同，少见问题的覆盖下降。学生比较人工种子、合成比例和质量筛选规则，理解扩大数据量应同时关注多样性、资源使用与长期可维护性，创新不能靠无审查循环复制完成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3—9分钟｜技术探究：对三轮合成文本进行重复率和覆盖检查；设计来源标签与混合策略，保留人工抽查和不合格样本。小组保留计算或运行过程；出现失败时先记录条件，再提出修订。</w:t>
      </w:r>
    </w:p>
    <w:p>
      <w:pPr>
        <w:jc w:val="both"/>
      </w:pPr>
      <w:r>
        <w:t>9—12分钟｜价值讨论：数据越多是否一定越好？怎样让合成数据帮助学习，而不是把已有偏差反复放大？每组至少给出一个支持理由和一个适用限制，以技术证据回答。</w:t>
      </w:r>
    </w:p>
    <w:p>
      <w:pPr>
        <w:jc w:val="both"/>
      </w:pPr>
      <w:r>
        <w:t>12—15分钟｜产出与互评：提交合成数据质量表、来源及轮次标签、混合策略说明；同伴核对结论、来源和边界，教师收取修改后的记录。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学生产出：合成数据质量表、来源及轮次标签、混合策略说明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课堂使用预置合成文本，不宣称复现真实模型崩溃；合成内容仍需核查来源风险与事实质量。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原文件：F:\思政库视频资源\任务二思政案例\5个案例\9 思政案例 +《AI 工程概览》+数据集工程 → 数据增强与合成 → 合成数据的质量控制（案例九：数据工程与AI可持续发展）+ 戴晓东 2026-03-28.docx</w:t>
      </w:r>
    </w:p>
    <w:p>
      <w:pPr>
        <w:jc w:val="both"/>
      </w:pPr>
      <w:r>
        <w:t>原题：9 思政案例 +《AI 工程概览》+数据集工程 → 数据增强与合成 → 合成数据的质量控制（案例九：数据工程与AI可持续发展）+ 戴晓东 2026-03-28</w:t>
      </w:r>
    </w:p>
    <w:p>
      <w:pPr>
        <w:jc w:val="both"/>
      </w:pPr>
      <w:r>
        <w:t>定位：work/docx_evidence.json 第45条；抽取正文字符612—891（包含表格转写）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相关资源ID：ai-engineering-5f5ac649f0c1、ai-engineering-50931b0c9e91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pStyle w:val="ListBullet"/>
      </w:pPr>
      <w:r>
        <w:t>核对课程字段原已为AI工程概览；专业归属待正式培养方案审核。</w:t>
      </w:r>
    </w:p>
    <w:p>
      <w:pPr>
        <w:jc w:val="both"/>
      </w:pPr>
      <w:r>
        <w:t>审核记录编号：SH-ZT-055；教师自检（前置）、专业初审、思政审核、学院评审委员会审定的签字人及日期均留空；未签审。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情境与课堂指导正文汉字数：476。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