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ZT-060 SMTP协议与邮件安全</w:t>
      </w:r>
    </w:p>
    <w:p>
      <w:pPr>
        <w:jc w:val="both"/>
      </w:pPr>
      <w:r>
        <w:t>主要维度：社会责任；次要维度：职业伦理、法治意识、人文素养</w:t>
      </w:r>
    </w:p>
    <w:p>
      <w:pPr>
        <w:jc w:val="both"/>
      </w:pPr>
      <w:r>
        <w:t>课程：Python网络程序设计</w:t>
      </w:r>
    </w:p>
    <w:p>
      <w:pPr>
        <w:jc w:val="both"/>
      </w:pPr>
      <w:r>
        <w:t>知识点：SMTP；MIME；TLS；凭据管理；反钓鱼</w:t>
      </w:r>
    </w:p>
    <w:p>
      <w:pPr>
        <w:jc w:val="both"/>
      </w:pPr>
      <w:r>
        <w:t>入口：#/topics/ZT-060；审核状态：待三级审核（未签审）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教师给出合成邮件和本地邮件发送器，学生发现发件人显示名与实际地址不一致，附件类型也与描述不同。通过检查邮件结构与传输设置，课堂把保护接收者、谨慎处理凭据和避免无意外发联系起来，让网络编程服务安全沟通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3—9分钟｜技术探究：检查MIME头、地址和附件字段，修订凭据读取与错误处理；在本地接收器验证发送，不连接真实邮箱。小组保留计算或运行过程；出现失败时先记录条件，再提出修订。</w:t>
      </w:r>
    </w:p>
    <w:p>
      <w:pPr>
        <w:jc w:val="both"/>
      </w:pPr>
      <w:r>
        <w:t>9—12分钟｜价值讨论：传输加密是否已经证明邮件内容可信？看到紧急转账措辞时，程序和用户还应做什么核实？每组至少给出一个支持理由和一个适用限制，以技术证据回答。</w:t>
      </w:r>
    </w:p>
    <w:p>
      <w:pPr>
        <w:jc w:val="both"/>
      </w:pPr>
      <w:r>
        <w:t>12—15分钟｜产出与互评：提交邮件结构检查、凭据处理说明、本地收发验证记录；同伴核对结论、来源和边界，教师收取修改后的记录。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学生产出：邮件结构检查、凭据处理说明、本地收发验证记录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不发送真实邮件、不使用真实密码；TLS保护传输但不证明发件人与内容可信，附件仅为合成文本。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原文件：F:\思政库视频资源\任务二思政案例\网络协议\案例五.docx</w:t>
      </w:r>
    </w:p>
    <w:p>
      <w:pPr>
        <w:jc w:val="both"/>
      </w:pPr>
      <w:r>
        <w:t>原题：案例五</w:t>
      </w:r>
    </w:p>
    <w:p>
      <w:pPr>
        <w:jc w:val="both"/>
      </w:pPr>
      <w:r>
        <w:t>定位：work/docx_evidence.json 第79条；抽取正文字符97—376（包含表格转写）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相关资源ID：python-network-ee3c15018389、python-network-f677ff398384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审核记录编号：SH-ZT-060；教师自检（前置）、专业初审、思政审核、学院评审委员会审定的签字人及日期均留空；未签审。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情境与课堂指导正文汉字数：479。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