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D78"/>
          <w:sz w:val="44"/>
        </w:rPr>
        <w:t>IMTS Concrete ML Model Recommendation</w:t>
      </w:r>
    </w:p>
    <w:p>
      <w:pPr>
        <w:spacing w:after="240"/>
      </w:pPr>
      <w:r>
        <w:rPr>
          <w:i/>
          <w:color w:val="5A5A5A"/>
          <w:sz w:val="23"/>
        </w:rPr>
        <w:t>Failure-focused strategy for an approximately 5% failure rate</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start w:w="120" w:type="dxa"/>
              <w:bottom w:w="80" w:type="dxa"/>
              <w:end w:w="120" w:type="dxa"/>
            </w:tcMar>
            <w:vAlign w:val="center"/>
          </w:tcPr>
          <w:p>
            <w:r>
              <w:rPr>
                <w:b/>
                <w:color w:val="1F4D78"/>
              </w:rPr>
              <w:t xml:space="preserve">Recommendation: </w:t>
            </w:r>
            <w:r>
              <w:t>Use both regression and classification. Select XGBoost as the primary performance candidate for each, while keeping Logistic Regression, the specification rule, Ridge, and Random Forest as transparent baselines. Use classification probability as the operational risk alert; use predicted 28-day strength and predicted strength margin as supporting evidence.</w:t>
            </w:r>
          </w:p>
        </w:tc>
      </w:tr>
    </w:tbl>
    <w:p>
      <w:pPr>
        <w:spacing w:after="0"/>
      </w:pPr>
    </w:p>
    <w:p>
      <w:pPr>
        <w:pStyle w:val="Heading1"/>
      </w:pPr>
      <w:r>
        <w:t>1. Decision summary</w:t>
      </w:r>
    </w:p>
    <w:tbl>
      <w:tblPr>
        <w:tblStyle w:val="TableGrid"/>
        <w:tblW w:type="dxa" w:w="9360"/>
        <w:tblLayout w:type="fixed"/>
        <w:tblLook w:firstColumn="1" w:firstRow="1" w:lastColumn="0" w:lastRow="0" w:noHBand="0" w:noVBand="1" w:val="04A0"/>
        <w:tblInd w:w="120" w:type="dxa"/>
      </w:tblPr>
      <w:tblGrid>
        <w:gridCol w:w="1950"/>
        <w:gridCol w:w="2250"/>
        <w:gridCol w:w="2700"/>
        <w:gridCol w:w="2460"/>
      </w:tblGrid>
      <w:tr>
        <w:trPr>
          <w:tblHeader w:val="true"/>
          <w:cantSplit/>
        </w:trPr>
        <w:tc>
          <w:tcPr>
            <w:tcW w:type="dxa" w:w="1950"/>
            <w:shd w:fill="E8EEF5"/>
            <w:tcMar>
              <w:top w:w="80" w:type="dxa"/>
              <w:start w:w="120" w:type="dxa"/>
              <w:bottom w:w="80" w:type="dxa"/>
              <w:end w:w="120" w:type="dxa"/>
            </w:tcMar>
            <w:vAlign w:val="center"/>
          </w:tcPr>
          <w:p>
            <w:r>
              <w:rPr>
                <w:b/>
                <w:color w:val="1F4D78"/>
              </w:rPr>
              <w:t>Purpose</w:t>
            </w:r>
          </w:p>
        </w:tc>
        <w:tc>
          <w:tcPr>
            <w:tcW w:type="dxa" w:w="2250"/>
            <w:shd w:fill="E8EEF5"/>
            <w:tcMar>
              <w:top w:w="80" w:type="dxa"/>
              <w:start w:w="120" w:type="dxa"/>
              <w:bottom w:w="80" w:type="dxa"/>
              <w:end w:w="120" w:type="dxa"/>
            </w:tcMar>
            <w:vAlign w:val="center"/>
          </w:tcPr>
          <w:p>
            <w:r>
              <w:rPr>
                <w:b/>
                <w:color w:val="1F4D78"/>
              </w:rPr>
              <w:t>Primary candidate</w:t>
            </w:r>
          </w:p>
        </w:tc>
        <w:tc>
          <w:tcPr>
            <w:tcW w:type="dxa" w:w="2700"/>
            <w:shd w:fill="E8EEF5"/>
            <w:tcMar>
              <w:top w:w="80" w:type="dxa"/>
              <w:start w:w="120" w:type="dxa"/>
              <w:bottom w:w="80" w:type="dxa"/>
              <w:end w:w="120" w:type="dxa"/>
            </w:tcMar>
            <w:vAlign w:val="center"/>
          </w:tcPr>
          <w:p>
            <w:r>
              <w:rPr>
                <w:b/>
                <w:color w:val="1F4D78"/>
              </w:rPr>
              <w:t>Required comparison</w:t>
            </w:r>
          </w:p>
        </w:tc>
        <w:tc>
          <w:tcPr>
            <w:tcW w:type="dxa" w:w="2460"/>
            <w:shd w:fill="E8EEF5"/>
            <w:tcMar>
              <w:top w:w="80" w:type="dxa"/>
              <w:start w:w="120" w:type="dxa"/>
              <w:bottom w:w="80" w:type="dxa"/>
              <w:end w:w="120" w:type="dxa"/>
            </w:tcMar>
            <w:vAlign w:val="center"/>
          </w:tcPr>
          <w:p>
            <w:r>
              <w:rPr>
                <w:b/>
                <w:color w:val="1F4D78"/>
              </w:rPr>
              <w:t>Operational output</w:t>
            </w:r>
          </w:p>
        </w:tc>
      </w:tr>
      <w:tr>
        <w:trPr>
          <w:cantSplit/>
        </w:trPr>
        <w:tc>
          <w:tcPr>
            <w:tcW w:type="dxa" w:w="1950"/>
            <w:tcMar>
              <w:top w:w="80" w:type="dxa"/>
              <w:start w:w="120" w:type="dxa"/>
              <w:bottom w:w="80" w:type="dxa"/>
              <w:end w:w="120" w:type="dxa"/>
            </w:tcMar>
            <w:vAlign w:val="center"/>
          </w:tcPr>
          <w:p>
            <w:r>
              <w:t>Day-0 failure risk</w:t>
            </w:r>
          </w:p>
        </w:tc>
        <w:tc>
          <w:tcPr>
            <w:tcW w:type="dxa" w:w="2250"/>
            <w:tcMar>
              <w:top w:w="80" w:type="dxa"/>
              <w:start w:w="120" w:type="dxa"/>
              <w:bottom w:w="80" w:type="dxa"/>
              <w:end w:w="120" w:type="dxa"/>
            </w:tcMar>
            <w:vAlign w:val="center"/>
          </w:tcPr>
          <w:p>
            <w:r>
              <w:t>XGBoost Classifier</w:t>
            </w:r>
          </w:p>
        </w:tc>
        <w:tc>
          <w:tcPr>
            <w:tcW w:type="dxa" w:w="2700"/>
            <w:tcMar>
              <w:top w:w="80" w:type="dxa"/>
              <w:start w:w="120" w:type="dxa"/>
              <w:bottom w:w="80" w:type="dxa"/>
              <w:end w:w="120" w:type="dxa"/>
            </w:tcMar>
            <w:vAlign w:val="center"/>
          </w:tcPr>
          <w:p>
            <w:r>
              <w:t>Spec rule + Logistic Regression</w:t>
            </w:r>
          </w:p>
        </w:tc>
        <w:tc>
          <w:tcPr>
            <w:tcW w:type="dxa" w:w="2460"/>
            <w:tcMar>
              <w:top w:w="80" w:type="dxa"/>
              <w:start w:w="120" w:type="dxa"/>
              <w:bottom w:w="80" w:type="dxa"/>
              <w:end w:w="120" w:type="dxa"/>
            </w:tcMar>
            <w:vAlign w:val="center"/>
          </w:tcPr>
          <w:p>
            <w:r>
              <w:t>Failure probability and risk tier</w:t>
            </w:r>
          </w:p>
        </w:tc>
      </w:tr>
      <w:tr>
        <w:trPr>
          <w:cantSplit/>
        </w:trPr>
        <w:tc>
          <w:tcPr>
            <w:tcW w:type="dxa" w:w="1950"/>
            <w:tcMar>
              <w:top w:w="80" w:type="dxa"/>
              <w:start w:w="120" w:type="dxa"/>
              <w:bottom w:w="80" w:type="dxa"/>
              <w:end w:w="120" w:type="dxa"/>
            </w:tcMar>
            <w:vAlign w:val="center"/>
          </w:tcPr>
          <w:p>
            <w:r>
              <w:t>Day-7 failure risk</w:t>
            </w:r>
          </w:p>
        </w:tc>
        <w:tc>
          <w:tcPr>
            <w:tcW w:type="dxa" w:w="2250"/>
            <w:tcMar>
              <w:top w:w="80" w:type="dxa"/>
              <w:start w:w="120" w:type="dxa"/>
              <w:bottom w:w="80" w:type="dxa"/>
              <w:end w:w="120" w:type="dxa"/>
            </w:tcMar>
            <w:vAlign w:val="center"/>
          </w:tcPr>
          <w:p>
            <w:r>
              <w:t>XGBoost Classifier</w:t>
            </w:r>
          </w:p>
        </w:tc>
        <w:tc>
          <w:tcPr>
            <w:tcW w:type="dxa" w:w="2700"/>
            <w:tcMar>
              <w:top w:w="80" w:type="dxa"/>
              <w:start w:w="120" w:type="dxa"/>
              <w:bottom w:w="80" w:type="dxa"/>
              <w:end w:w="120" w:type="dxa"/>
            </w:tcMar>
            <w:vAlign w:val="center"/>
          </w:tcPr>
          <w:p>
            <w:r>
              <w:t>Day-0 model + Logistic Regression</w:t>
            </w:r>
          </w:p>
        </w:tc>
        <w:tc>
          <w:tcPr>
            <w:tcW w:type="dxa" w:w="2460"/>
            <w:tcMar>
              <w:top w:w="80" w:type="dxa"/>
              <w:start w:w="120" w:type="dxa"/>
              <w:bottom w:w="80" w:type="dxa"/>
              <w:end w:w="120" w:type="dxa"/>
            </w:tcMar>
            <w:vAlign w:val="center"/>
          </w:tcPr>
          <w:p>
            <w:r>
              <w:t>Updated failure probability</w:t>
            </w:r>
          </w:p>
        </w:tc>
      </w:tr>
      <w:tr>
        <w:trPr>
          <w:cantSplit/>
        </w:trPr>
        <w:tc>
          <w:tcPr>
            <w:tcW w:type="dxa" w:w="1950"/>
            <w:tcMar>
              <w:top w:w="80" w:type="dxa"/>
              <w:start w:w="120" w:type="dxa"/>
              <w:bottom w:w="80" w:type="dxa"/>
              <w:end w:w="120" w:type="dxa"/>
            </w:tcMar>
            <w:vAlign w:val="center"/>
          </w:tcPr>
          <w:p>
            <w:r>
              <w:t>28-day strength</w:t>
            </w:r>
          </w:p>
        </w:tc>
        <w:tc>
          <w:tcPr>
            <w:tcW w:type="dxa" w:w="2250"/>
            <w:tcMar>
              <w:top w:w="80" w:type="dxa"/>
              <w:start w:w="120" w:type="dxa"/>
              <w:bottom w:w="80" w:type="dxa"/>
              <w:end w:w="120" w:type="dxa"/>
            </w:tcMar>
            <w:vAlign w:val="center"/>
          </w:tcPr>
          <w:p>
            <w:r>
              <w:t>XGBoost Regressor</w:t>
            </w:r>
          </w:p>
        </w:tc>
        <w:tc>
          <w:tcPr>
            <w:tcW w:type="dxa" w:w="2700"/>
            <w:tcMar>
              <w:top w:w="80" w:type="dxa"/>
              <w:start w:w="120" w:type="dxa"/>
              <w:bottom w:w="80" w:type="dxa"/>
              <w:end w:w="120" w:type="dxa"/>
            </w:tcMar>
            <w:vAlign w:val="center"/>
          </w:tcPr>
          <w:p>
            <w:r>
              <w:t>Dummy/Ridge + Random Forest</w:t>
            </w:r>
          </w:p>
        </w:tc>
        <w:tc>
          <w:tcPr>
            <w:tcW w:type="dxa" w:w="2460"/>
            <w:tcMar>
              <w:top w:w="80" w:type="dxa"/>
              <w:start w:w="120" w:type="dxa"/>
              <w:bottom w:w="80" w:type="dxa"/>
              <w:end w:w="120" w:type="dxa"/>
            </w:tcMar>
            <w:vAlign w:val="center"/>
          </w:tcPr>
          <w:p>
            <w:r>
              <w:t>Predicted strength and margin</w:t>
            </w:r>
          </w:p>
        </w:tc>
      </w:tr>
      <w:tr>
        <w:trPr>
          <w:cantSplit/>
        </w:trPr>
        <w:tc>
          <w:tcPr>
            <w:tcW w:type="dxa" w:w="1950"/>
            <w:tcMar>
              <w:top w:w="80" w:type="dxa"/>
              <w:start w:w="120" w:type="dxa"/>
              <w:bottom w:w="80" w:type="dxa"/>
              <w:end w:w="120" w:type="dxa"/>
            </w:tcMar>
            <w:vAlign w:val="center"/>
          </w:tcPr>
          <w:p>
            <w:r>
              <w:t>Mix strength feasibility</w:t>
            </w:r>
          </w:p>
        </w:tc>
        <w:tc>
          <w:tcPr>
            <w:tcW w:type="dxa" w:w="2250"/>
            <w:tcMar>
              <w:top w:w="80" w:type="dxa"/>
              <w:start w:w="120" w:type="dxa"/>
              <w:bottom w:w="80" w:type="dxa"/>
              <w:end w:w="120" w:type="dxa"/>
            </w:tcMar>
            <w:vAlign w:val="center"/>
          </w:tcPr>
          <w:p>
            <w:r>
              <w:t>XGBoost Regressor</w:t>
            </w:r>
          </w:p>
        </w:tc>
        <w:tc>
          <w:tcPr>
            <w:tcW w:type="dxa" w:w="2700"/>
            <w:tcMar>
              <w:top w:w="80" w:type="dxa"/>
              <w:start w:w="120" w:type="dxa"/>
              <w:bottom w:w="80" w:type="dxa"/>
              <w:end w:w="120" w:type="dxa"/>
            </w:tcMar>
            <w:vAlign w:val="center"/>
          </w:tcPr>
          <w:p>
            <w:r>
              <w:t>Random Forest</w:t>
            </w:r>
          </w:p>
        </w:tc>
        <w:tc>
          <w:tcPr>
            <w:tcW w:type="dxa" w:w="2460"/>
            <w:tcMar>
              <w:top w:w="80" w:type="dxa"/>
              <w:start w:w="120" w:type="dxa"/>
              <w:bottom w:w="80" w:type="dxa"/>
              <w:end w:w="120" w:type="dxa"/>
            </w:tcMar>
            <w:vAlign w:val="center"/>
          </w:tcPr>
          <w:p>
            <w:r>
              <w:t>Predicted strength; review candidate</w:t>
            </w:r>
          </w:p>
        </w:tc>
      </w:tr>
    </w:tbl>
    <w:p>
      <w:pPr>
        <w:spacing w:after="0"/>
      </w:pPr>
    </w:p>
    <w:p>
      <w:pPr>
        <w:pStyle w:val="Heading1"/>
      </w:pPr>
      <w:r>
        <w:t>2. Why classification is the primary operational model</w:t>
      </w:r>
    </w:p>
    <w:p>
      <w:r>
        <w:t>IMTS has only about 5% failure cases. The business question is therefore not simply “How close is the predicted strength?” but “Which tests are likely to fail, and how many real failures can be detected early?”</w:t>
      </w:r>
    </w:p>
    <w:p>
      <w:pPr>
        <w:pStyle w:val="ListBullet"/>
      </w:pPr>
      <w:r>
        <w:t>A classifier directly estimates P(FailureFlag28 = 1), which matches the risk-alert decision.</w:t>
      </w:r>
    </w:p>
    <w:p>
      <w:pPr>
        <w:pStyle w:val="ListBullet"/>
      </w:pPr>
      <w:r>
        <w:t>A probability can be converted to different operating thresholds depending on the cost of missed failures and false alarms.</w:t>
      </w:r>
    </w:p>
    <w:p>
      <w:pPr>
        <w:pStyle w:val="ListBullet"/>
      </w:pPr>
      <w:r>
        <w:t>Class imbalance can be handled during training and threshold selection instead of hiding behind high overall accuracy.</w:t>
      </w:r>
    </w:p>
    <w:p>
      <w:pPr>
        <w:pStyle w:val="ListBullet"/>
      </w:pPr>
      <w:r>
        <w:t>Day-0 classification provides an early warning; Day-7 classification updates that warning after a highly informative 7-day result becomes available.</w:t>
      </w:r>
    </w:p>
    <w:p>
      <w:pPr>
        <w:pStyle w:val="Heading1"/>
      </w:pPr>
      <w:r>
        <w:t>3. Why regression is still necessary</w:t>
      </w:r>
    </w:p>
    <w:p>
      <w:r>
        <w:t>Regression and classification answer related but different questions. Regression predicts the numerical 28-day strength; classification predicts whether the result will be below the applicable specified strength.</w:t>
      </w:r>
    </w:p>
    <w:tbl>
      <w:tblPr>
        <w:tblStyle w:val="TableGrid"/>
        <w:tblW w:type="dxa" w:w="9360"/>
        <w:tblLayout w:type="fixed"/>
        <w:tblLook w:firstColumn="1" w:firstRow="1" w:lastColumn="0" w:lastRow="0" w:noHBand="0" w:noVBand="1" w:val="04A0"/>
        <w:tblInd w:w="120" w:type="dxa"/>
      </w:tblPr>
      <w:tblGrid>
        <w:gridCol w:w="1200"/>
        <w:gridCol w:w="1900"/>
        <w:gridCol w:w="1900"/>
        <w:gridCol w:w="1900"/>
        <w:gridCol w:w="2460"/>
      </w:tblGrid>
      <w:tr>
        <w:trPr>
          <w:tblHeader w:val="true"/>
          <w:cantSplit/>
        </w:trPr>
        <w:tc>
          <w:tcPr>
            <w:tcW w:type="dxa" w:w="1200"/>
            <w:shd w:fill="E8EEF5"/>
            <w:tcMar>
              <w:top w:w="80" w:type="dxa"/>
              <w:start w:w="120" w:type="dxa"/>
              <w:bottom w:w="80" w:type="dxa"/>
              <w:end w:w="120" w:type="dxa"/>
            </w:tcMar>
            <w:vAlign w:val="center"/>
          </w:tcPr>
          <w:p>
            <w:r>
              <w:rPr>
                <w:b/>
                <w:color w:val="1F4D78"/>
              </w:rPr>
              <w:t>Example</w:t>
            </w:r>
          </w:p>
        </w:tc>
        <w:tc>
          <w:tcPr>
            <w:tcW w:type="dxa" w:w="1900"/>
            <w:shd w:fill="E8EEF5"/>
            <w:tcMar>
              <w:top w:w="80" w:type="dxa"/>
              <w:start w:w="120" w:type="dxa"/>
              <w:bottom w:w="80" w:type="dxa"/>
              <w:end w:w="120" w:type="dxa"/>
            </w:tcMar>
            <w:vAlign w:val="center"/>
          </w:tcPr>
          <w:p>
            <w:r>
              <w:rPr>
                <w:b/>
                <w:color w:val="1F4D78"/>
              </w:rPr>
              <w:t>Predicted strength</w:t>
            </w:r>
          </w:p>
        </w:tc>
        <w:tc>
          <w:tcPr>
            <w:tcW w:type="dxa" w:w="1900"/>
            <w:shd w:fill="E8EEF5"/>
            <w:tcMar>
              <w:top w:w="80" w:type="dxa"/>
              <w:start w:w="120" w:type="dxa"/>
              <w:bottom w:w="80" w:type="dxa"/>
              <w:end w:w="120" w:type="dxa"/>
            </w:tcMar>
            <w:vAlign w:val="center"/>
          </w:tcPr>
          <w:p>
            <w:r>
              <w:rPr>
                <w:b/>
                <w:color w:val="1F4D78"/>
              </w:rPr>
              <w:t>Required strength</w:t>
            </w:r>
          </w:p>
        </w:tc>
        <w:tc>
          <w:tcPr>
            <w:tcW w:type="dxa" w:w="1900"/>
            <w:shd w:fill="E8EEF5"/>
            <w:tcMar>
              <w:top w:w="80" w:type="dxa"/>
              <w:start w:w="120" w:type="dxa"/>
              <w:bottom w:w="80" w:type="dxa"/>
              <w:end w:w="120" w:type="dxa"/>
            </w:tcMar>
            <w:vAlign w:val="center"/>
          </w:tcPr>
          <w:p>
            <w:r>
              <w:rPr>
                <w:b/>
                <w:color w:val="1F4D78"/>
              </w:rPr>
              <w:t>Predicted margin</w:t>
            </w:r>
          </w:p>
        </w:tc>
        <w:tc>
          <w:tcPr>
            <w:tcW w:type="dxa" w:w="2460"/>
            <w:shd w:fill="E8EEF5"/>
            <w:tcMar>
              <w:top w:w="80" w:type="dxa"/>
              <w:start w:w="120" w:type="dxa"/>
              <w:bottom w:w="80" w:type="dxa"/>
              <w:end w:w="120" w:type="dxa"/>
            </w:tcMar>
            <w:vAlign w:val="center"/>
          </w:tcPr>
          <w:p>
            <w:r>
              <w:rPr>
                <w:b/>
                <w:color w:val="1F4D78"/>
              </w:rPr>
              <w:t>Risk meaning</w:t>
            </w:r>
          </w:p>
        </w:tc>
      </w:tr>
      <w:tr>
        <w:trPr>
          <w:cantSplit/>
        </w:trPr>
        <w:tc>
          <w:tcPr>
            <w:tcW w:type="dxa" w:w="1200"/>
            <w:tcMar>
              <w:top w:w="80" w:type="dxa"/>
              <w:start w:w="120" w:type="dxa"/>
              <w:bottom w:w="80" w:type="dxa"/>
              <w:end w:w="120" w:type="dxa"/>
            </w:tcMar>
            <w:vAlign w:val="center"/>
          </w:tcPr>
          <w:p>
            <w:r>
              <w:t>Test A</w:t>
            </w:r>
          </w:p>
        </w:tc>
        <w:tc>
          <w:tcPr>
            <w:tcW w:type="dxa" w:w="1900"/>
            <w:tcMar>
              <w:top w:w="80" w:type="dxa"/>
              <w:start w:w="120" w:type="dxa"/>
              <w:bottom w:w="80" w:type="dxa"/>
              <w:end w:w="120" w:type="dxa"/>
            </w:tcMar>
            <w:vAlign w:val="center"/>
          </w:tcPr>
          <w:p>
            <w:r>
              <w:t>3,900 psi</w:t>
            </w:r>
          </w:p>
        </w:tc>
        <w:tc>
          <w:tcPr>
            <w:tcW w:type="dxa" w:w="1900"/>
            <w:tcMar>
              <w:top w:w="80" w:type="dxa"/>
              <w:start w:w="120" w:type="dxa"/>
              <w:bottom w:w="80" w:type="dxa"/>
              <w:end w:w="120" w:type="dxa"/>
            </w:tcMar>
            <w:vAlign w:val="center"/>
          </w:tcPr>
          <w:p>
            <w:r>
              <w:t>4,000 psi</w:t>
            </w:r>
          </w:p>
        </w:tc>
        <w:tc>
          <w:tcPr>
            <w:tcW w:type="dxa" w:w="1900"/>
            <w:tcMar>
              <w:top w:w="80" w:type="dxa"/>
              <w:start w:w="120" w:type="dxa"/>
              <w:bottom w:w="80" w:type="dxa"/>
              <w:end w:w="120" w:type="dxa"/>
            </w:tcMar>
            <w:vAlign w:val="center"/>
          </w:tcPr>
          <w:p>
            <w:r>
              <w:t>−100 psi</w:t>
            </w:r>
          </w:p>
        </w:tc>
        <w:tc>
          <w:tcPr>
            <w:tcW w:type="dxa" w:w="2460"/>
            <w:tcMar>
              <w:top w:w="80" w:type="dxa"/>
              <w:start w:w="120" w:type="dxa"/>
              <w:bottom w:w="80" w:type="dxa"/>
              <w:end w:w="120" w:type="dxa"/>
            </w:tcMar>
            <w:vAlign w:val="center"/>
          </w:tcPr>
          <w:p>
            <w:r>
              <w:t>Near/under boundary</w:t>
            </w:r>
          </w:p>
        </w:tc>
      </w:tr>
      <w:tr>
        <w:trPr>
          <w:cantSplit/>
        </w:trPr>
        <w:tc>
          <w:tcPr>
            <w:tcW w:type="dxa" w:w="1200"/>
            <w:tcMar>
              <w:top w:w="80" w:type="dxa"/>
              <w:start w:w="120" w:type="dxa"/>
              <w:bottom w:w="80" w:type="dxa"/>
              <w:end w:w="120" w:type="dxa"/>
            </w:tcMar>
            <w:vAlign w:val="center"/>
          </w:tcPr>
          <w:p>
            <w:r>
              <w:t>Test B</w:t>
            </w:r>
          </w:p>
        </w:tc>
        <w:tc>
          <w:tcPr>
            <w:tcW w:type="dxa" w:w="1900"/>
            <w:tcMar>
              <w:top w:w="80" w:type="dxa"/>
              <w:start w:w="120" w:type="dxa"/>
              <w:bottom w:w="80" w:type="dxa"/>
              <w:end w:w="120" w:type="dxa"/>
            </w:tcMar>
            <w:vAlign w:val="center"/>
          </w:tcPr>
          <w:p>
            <w:r>
              <w:t>5,200 psi</w:t>
            </w:r>
          </w:p>
        </w:tc>
        <w:tc>
          <w:tcPr>
            <w:tcW w:type="dxa" w:w="1900"/>
            <w:tcMar>
              <w:top w:w="80" w:type="dxa"/>
              <w:start w:w="120" w:type="dxa"/>
              <w:bottom w:w="80" w:type="dxa"/>
              <w:end w:w="120" w:type="dxa"/>
            </w:tcMar>
            <w:vAlign w:val="center"/>
          </w:tcPr>
          <w:p>
            <w:r>
              <w:t>4,000 psi</w:t>
            </w:r>
          </w:p>
        </w:tc>
        <w:tc>
          <w:tcPr>
            <w:tcW w:type="dxa" w:w="1900"/>
            <w:tcMar>
              <w:top w:w="80" w:type="dxa"/>
              <w:start w:w="120" w:type="dxa"/>
              <w:bottom w:w="80" w:type="dxa"/>
              <w:end w:w="120" w:type="dxa"/>
            </w:tcMar>
            <w:vAlign w:val="center"/>
          </w:tcPr>
          <w:p>
            <w:r>
              <w:t>+1,200 psi</w:t>
            </w:r>
          </w:p>
        </w:tc>
        <w:tc>
          <w:tcPr>
            <w:tcW w:type="dxa" w:w="2460"/>
            <w:tcMar>
              <w:top w:w="80" w:type="dxa"/>
              <w:start w:w="120" w:type="dxa"/>
              <w:bottom w:w="80" w:type="dxa"/>
              <w:end w:w="120" w:type="dxa"/>
            </w:tcMar>
            <w:vAlign w:val="center"/>
          </w:tcPr>
          <w:p>
            <w:r>
              <w:t>Large safety margin</w:t>
            </w:r>
          </w:p>
        </w:tc>
      </w:tr>
    </w:tbl>
    <w:p>
      <w:pPr>
        <w:spacing w:after="0"/>
      </w:pPr>
    </w:p>
    <w:p>
      <w:pPr>
        <w:pStyle w:val="ListBullet"/>
      </w:pPr>
      <w:r>
        <w:t>Predicted strength helps explain how far a test is from the requirement, not only whether it is labeled high risk.</w:t>
      </w:r>
    </w:p>
    <w:p>
      <w:pPr>
        <w:pStyle w:val="ListBullet"/>
      </w:pPr>
      <w:r>
        <w:t>Regression supports mix review, strength forecasting, error analysis, and comparison by supplier/plant/mix.</w:t>
      </w:r>
    </w:p>
    <w:p>
      <w:pPr>
        <w:pStyle w:val="ListBullet"/>
      </w:pPr>
      <w:r>
        <w:t>A regression-based implied failure can be calculated when predicted strength is below required strength, but it must be compared fairly with the direct classifier on the same folds and records.</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2CC"/>
            <w:tcMar>
              <w:top w:w="80" w:type="dxa"/>
              <w:start w:w="120" w:type="dxa"/>
              <w:bottom w:w="80" w:type="dxa"/>
              <w:end w:w="120" w:type="dxa"/>
            </w:tcMar>
            <w:vAlign w:val="center"/>
          </w:tcPr>
          <w:p>
            <w:r>
              <w:rPr>
                <w:b/>
                <w:color w:val="7A5A00"/>
              </w:rPr>
              <w:t xml:space="preserve">Important: </w:t>
            </w:r>
            <w:r>
              <w:t>Do not assume the regressor and classifier will identify exactly the same failures. A regressor minimizes overall numerical error; rare failures may contribute too little to the loss. A classifier is trained directly on the failure boundary.</w:t>
            </w:r>
          </w:p>
        </w:tc>
      </w:tr>
    </w:tbl>
    <w:p>
      <w:pPr>
        <w:spacing w:after="0"/>
      </w:pPr>
    </w:p>
    <w:p>
      <w:pPr>
        <w:pStyle w:val="Heading1"/>
      </w:pPr>
      <w:r>
        <w:t>4. Recommended classifier candidates</w:t>
      </w:r>
    </w:p>
    <w:tbl>
      <w:tblPr>
        <w:tblStyle w:val="TableGrid"/>
        <w:tblW w:type="dxa" w:w="9360"/>
        <w:tblLayout w:type="fixed"/>
        <w:tblLook w:firstColumn="1" w:firstRow="1" w:lastColumn="0" w:lastRow="0" w:noHBand="0" w:noVBand="1" w:val="04A0"/>
        <w:tblInd w:w="120" w:type="dxa"/>
      </w:tblPr>
      <w:tblGrid>
        <w:gridCol w:w="1850"/>
        <w:gridCol w:w="1850"/>
        <w:gridCol w:w="3100"/>
        <w:gridCol w:w="2560"/>
      </w:tblGrid>
      <w:tr>
        <w:trPr>
          <w:tblHeader w:val="true"/>
          <w:cantSplit/>
        </w:trPr>
        <w:tc>
          <w:tcPr>
            <w:tcW w:type="dxa" w:w="1850"/>
            <w:shd w:fill="E8EEF5"/>
            <w:tcMar>
              <w:top w:w="80" w:type="dxa"/>
              <w:start w:w="120" w:type="dxa"/>
              <w:bottom w:w="80" w:type="dxa"/>
              <w:end w:w="120" w:type="dxa"/>
            </w:tcMar>
            <w:vAlign w:val="center"/>
          </w:tcPr>
          <w:p>
            <w:r>
              <w:rPr>
                <w:b/>
                <w:color w:val="1F4D78"/>
              </w:rPr>
              <w:t>Candidate</w:t>
            </w:r>
          </w:p>
        </w:tc>
        <w:tc>
          <w:tcPr>
            <w:tcW w:type="dxa" w:w="1850"/>
            <w:shd w:fill="E8EEF5"/>
            <w:tcMar>
              <w:top w:w="80" w:type="dxa"/>
              <w:start w:w="120" w:type="dxa"/>
              <w:bottom w:w="80" w:type="dxa"/>
              <w:end w:w="120" w:type="dxa"/>
            </w:tcMar>
            <w:vAlign w:val="center"/>
          </w:tcPr>
          <w:p>
            <w:r>
              <w:rPr>
                <w:b/>
                <w:color w:val="1F4D78"/>
              </w:rPr>
              <w:t>Role</w:t>
            </w:r>
          </w:p>
        </w:tc>
        <w:tc>
          <w:tcPr>
            <w:tcW w:type="dxa" w:w="3100"/>
            <w:shd w:fill="E8EEF5"/>
            <w:tcMar>
              <w:top w:w="80" w:type="dxa"/>
              <w:start w:w="120" w:type="dxa"/>
              <w:bottom w:w="80" w:type="dxa"/>
              <w:end w:w="120" w:type="dxa"/>
            </w:tcMar>
            <w:vAlign w:val="center"/>
          </w:tcPr>
          <w:p>
            <w:r>
              <w:rPr>
                <w:b/>
                <w:color w:val="1F4D78"/>
              </w:rPr>
              <w:t>Why it belongs</w:t>
            </w:r>
          </w:p>
        </w:tc>
        <w:tc>
          <w:tcPr>
            <w:tcW w:type="dxa" w:w="2560"/>
            <w:shd w:fill="E8EEF5"/>
            <w:tcMar>
              <w:top w:w="80" w:type="dxa"/>
              <w:start w:w="120" w:type="dxa"/>
              <w:bottom w:w="80" w:type="dxa"/>
              <w:end w:w="120" w:type="dxa"/>
            </w:tcMar>
            <w:vAlign w:val="center"/>
          </w:tcPr>
          <w:p>
            <w:r>
              <w:rPr>
                <w:b/>
                <w:color w:val="1F4D78"/>
              </w:rPr>
              <w:t>Main caution</w:t>
            </w:r>
          </w:p>
        </w:tc>
      </w:tr>
      <w:tr>
        <w:trPr>
          <w:cantSplit/>
        </w:trPr>
        <w:tc>
          <w:tcPr>
            <w:tcW w:type="dxa" w:w="1850"/>
            <w:tcMar>
              <w:top w:w="80" w:type="dxa"/>
              <w:start w:w="120" w:type="dxa"/>
              <w:bottom w:w="80" w:type="dxa"/>
              <w:end w:w="120" w:type="dxa"/>
            </w:tcMar>
            <w:vAlign w:val="center"/>
          </w:tcPr>
          <w:p>
            <w:r>
              <w:t>Specification rule</w:t>
            </w:r>
          </w:p>
        </w:tc>
        <w:tc>
          <w:tcPr>
            <w:tcW w:type="dxa" w:w="1850"/>
            <w:tcMar>
              <w:top w:w="80" w:type="dxa"/>
              <w:start w:w="120" w:type="dxa"/>
              <w:bottom w:w="80" w:type="dxa"/>
              <w:end w:w="120" w:type="dxa"/>
            </w:tcMar>
            <w:vAlign w:val="center"/>
          </w:tcPr>
          <w:p>
            <w:r>
              <w:t>Business baseline</w:t>
            </w:r>
          </w:p>
        </w:tc>
        <w:tc>
          <w:tcPr>
            <w:tcW w:type="dxa" w:w="3100"/>
            <w:tcMar>
              <w:top w:w="80" w:type="dxa"/>
              <w:start w:w="120" w:type="dxa"/>
              <w:bottom w:w="80" w:type="dxa"/>
              <w:end w:w="120" w:type="dxa"/>
            </w:tcMar>
            <w:vAlign w:val="center"/>
          </w:tcPr>
          <w:p>
            <w:r>
              <w:t>Tests whether ML adds value beyond simple compliance</w:t>
            </w:r>
          </w:p>
        </w:tc>
        <w:tc>
          <w:tcPr>
            <w:tcW w:type="dxa" w:w="2560"/>
            <w:tcMar>
              <w:top w:w="80" w:type="dxa"/>
              <w:start w:w="120" w:type="dxa"/>
              <w:bottom w:w="80" w:type="dxa"/>
              <w:end w:w="120" w:type="dxa"/>
            </w:tcMar>
            <w:vAlign w:val="center"/>
          </w:tcPr>
          <w:p>
            <w:r>
              <w:t>Cannot combine subtle within-spec risks</w:t>
            </w:r>
          </w:p>
        </w:tc>
      </w:tr>
      <w:tr>
        <w:trPr>
          <w:cantSplit/>
        </w:trPr>
        <w:tc>
          <w:tcPr>
            <w:tcW w:type="dxa" w:w="1850"/>
            <w:tcMar>
              <w:top w:w="80" w:type="dxa"/>
              <w:start w:w="120" w:type="dxa"/>
              <w:bottom w:w="80" w:type="dxa"/>
              <w:end w:w="120" w:type="dxa"/>
            </w:tcMar>
            <w:vAlign w:val="center"/>
          </w:tcPr>
          <w:p>
            <w:r>
              <w:t>Logistic Regression</w:t>
            </w:r>
          </w:p>
        </w:tc>
        <w:tc>
          <w:tcPr>
            <w:tcW w:type="dxa" w:w="1850"/>
            <w:tcMar>
              <w:top w:w="80" w:type="dxa"/>
              <w:start w:w="120" w:type="dxa"/>
              <w:bottom w:w="80" w:type="dxa"/>
              <w:end w:w="120" w:type="dxa"/>
            </w:tcMar>
            <w:vAlign w:val="center"/>
          </w:tcPr>
          <w:p>
            <w:r>
              <w:t>Transparent ML baseline</w:t>
            </w:r>
          </w:p>
        </w:tc>
        <w:tc>
          <w:tcPr>
            <w:tcW w:type="dxa" w:w="3100"/>
            <w:tcMar>
              <w:top w:w="80" w:type="dxa"/>
              <w:start w:w="120" w:type="dxa"/>
              <w:bottom w:w="80" w:type="dxa"/>
              <w:end w:w="120" w:type="dxa"/>
            </w:tcMar>
            <w:vAlign w:val="center"/>
          </w:tcPr>
          <w:p>
            <w:r>
              <w:t>Interpretable coefficients/odds; class weighting; stable</w:t>
            </w:r>
          </w:p>
        </w:tc>
        <w:tc>
          <w:tcPr>
            <w:tcW w:type="dxa" w:w="2560"/>
            <w:tcMar>
              <w:top w:w="80" w:type="dxa"/>
              <w:start w:w="120" w:type="dxa"/>
              <w:bottom w:w="80" w:type="dxa"/>
              <w:end w:w="120" w:type="dxa"/>
            </w:tcMar>
            <w:vAlign w:val="center"/>
          </w:tcPr>
          <w:p>
            <w:r>
              <w:t>Linear decision boundary unless interactions are engineered</w:t>
            </w:r>
          </w:p>
        </w:tc>
      </w:tr>
      <w:tr>
        <w:trPr>
          <w:cantSplit/>
        </w:trPr>
        <w:tc>
          <w:tcPr>
            <w:tcW w:type="dxa" w:w="1850"/>
            <w:tcMar>
              <w:top w:w="80" w:type="dxa"/>
              <w:start w:w="120" w:type="dxa"/>
              <w:bottom w:w="80" w:type="dxa"/>
              <w:end w:w="120" w:type="dxa"/>
            </w:tcMar>
            <w:vAlign w:val="center"/>
          </w:tcPr>
          <w:p>
            <w:r>
              <w:t>XGBoost Classifier</w:t>
            </w:r>
          </w:p>
        </w:tc>
        <w:tc>
          <w:tcPr>
            <w:tcW w:type="dxa" w:w="1850"/>
            <w:tcMar>
              <w:top w:w="80" w:type="dxa"/>
              <w:start w:w="120" w:type="dxa"/>
              <w:bottom w:w="80" w:type="dxa"/>
              <w:end w:w="120" w:type="dxa"/>
            </w:tcMar>
            <w:vAlign w:val="center"/>
          </w:tcPr>
          <w:p>
            <w:r>
              <w:t>Primary performance candidate</w:t>
            </w:r>
          </w:p>
        </w:tc>
        <w:tc>
          <w:tcPr>
            <w:tcW w:type="dxa" w:w="3100"/>
            <w:tcMar>
              <w:top w:w="80" w:type="dxa"/>
              <w:start w:w="120" w:type="dxa"/>
              <w:bottom w:w="80" w:type="dxa"/>
              <w:end w:w="120" w:type="dxa"/>
            </w:tcMar>
            <w:vAlign w:val="center"/>
          </w:tcPr>
          <w:p>
            <w:r>
              <w:t>Nonlinear effects, interactions, missing values, strong tabular performance</w:t>
            </w:r>
          </w:p>
        </w:tc>
        <w:tc>
          <w:tcPr>
            <w:tcW w:type="dxa" w:w="2560"/>
            <w:tcMar>
              <w:top w:w="80" w:type="dxa"/>
              <w:start w:w="120" w:type="dxa"/>
              <w:bottom w:w="80" w:type="dxa"/>
              <w:end w:w="120" w:type="dxa"/>
            </w:tcMar>
            <w:vAlign w:val="center"/>
          </w:tcPr>
          <w:p>
            <w:r>
              <w:t>Needs grouped CV, tuning, calibration, and explanation</w:t>
            </w:r>
          </w:p>
        </w:tc>
      </w:tr>
    </w:tbl>
    <w:p>
      <w:pPr>
        <w:spacing w:after="0"/>
      </w:pPr>
    </w:p>
    <w:p>
      <w:pPr>
        <w:pStyle w:val="Heading2"/>
      </w:pPr>
      <w:r>
        <w:t>Why XGBoost Classifier is the leading candidate</w:t>
      </w:r>
    </w:p>
    <w:p>
      <w:pPr>
        <w:pStyle w:val="ListBullet"/>
      </w:pPr>
      <w:r>
        <w:t>Field measurements, specification limits, deviations, timing, supplier/plant/mix context, and 7-day strength can interact nonlinearly.</w:t>
      </w:r>
    </w:p>
    <w:p>
      <w:pPr>
        <w:pStyle w:val="ListBullet"/>
      </w:pPr>
      <w:r>
        <w:t>Failure is rare, so positive-class weighting and threshold control are useful; both must be chosen inside the validation process.</w:t>
      </w:r>
    </w:p>
    <w:p>
      <w:pPr>
        <w:pStyle w:val="ListBullet"/>
      </w:pPr>
      <w:r>
        <w:t>The model outputs a probability that can be calibrated and converted into operational risk tiers.</w:t>
      </w:r>
    </w:p>
    <w:p>
      <w:pPr>
        <w:pStyle w:val="ListBullet"/>
      </w:pPr>
      <w:r>
        <w:t>SHAP and permutation importance can explain both global patterns and individual alerts.</w:t>
      </w:r>
    </w:p>
    <w:p>
      <w:pPr>
        <w:pStyle w:val="Heading1"/>
      </w:pPr>
      <w:r>
        <w:t>5. Recommended regressor candidates</w:t>
      </w:r>
    </w:p>
    <w:tbl>
      <w:tblPr>
        <w:tblStyle w:val="TableGrid"/>
        <w:tblW w:type="dxa" w:w="9360"/>
        <w:tblLayout w:type="fixed"/>
        <w:tblLook w:firstColumn="1" w:firstRow="1" w:lastColumn="0" w:lastRow="0" w:noHBand="0" w:noVBand="1" w:val="04A0"/>
        <w:tblInd w:w="120" w:type="dxa"/>
      </w:tblPr>
      <w:tblGrid>
        <w:gridCol w:w="1850"/>
        <w:gridCol w:w="1850"/>
        <w:gridCol w:w="3100"/>
        <w:gridCol w:w="2560"/>
      </w:tblGrid>
      <w:tr>
        <w:trPr>
          <w:tblHeader w:val="true"/>
          <w:cantSplit/>
        </w:trPr>
        <w:tc>
          <w:tcPr>
            <w:tcW w:type="dxa" w:w="1850"/>
            <w:shd w:fill="E8EEF5"/>
            <w:tcMar>
              <w:top w:w="80" w:type="dxa"/>
              <w:start w:w="120" w:type="dxa"/>
              <w:bottom w:w="80" w:type="dxa"/>
              <w:end w:w="120" w:type="dxa"/>
            </w:tcMar>
            <w:vAlign w:val="center"/>
          </w:tcPr>
          <w:p>
            <w:r>
              <w:rPr>
                <w:b/>
                <w:color w:val="1F4D78"/>
              </w:rPr>
              <w:t>Candidate</w:t>
            </w:r>
          </w:p>
        </w:tc>
        <w:tc>
          <w:tcPr>
            <w:tcW w:type="dxa" w:w="1850"/>
            <w:shd w:fill="E8EEF5"/>
            <w:tcMar>
              <w:top w:w="80" w:type="dxa"/>
              <w:start w:w="120" w:type="dxa"/>
              <w:bottom w:w="80" w:type="dxa"/>
              <w:end w:w="120" w:type="dxa"/>
            </w:tcMar>
            <w:vAlign w:val="center"/>
          </w:tcPr>
          <w:p>
            <w:r>
              <w:rPr>
                <w:b/>
                <w:color w:val="1F4D78"/>
              </w:rPr>
              <w:t>Role</w:t>
            </w:r>
          </w:p>
        </w:tc>
        <w:tc>
          <w:tcPr>
            <w:tcW w:type="dxa" w:w="3100"/>
            <w:shd w:fill="E8EEF5"/>
            <w:tcMar>
              <w:top w:w="80" w:type="dxa"/>
              <w:start w:w="120" w:type="dxa"/>
              <w:bottom w:w="80" w:type="dxa"/>
              <w:end w:w="120" w:type="dxa"/>
            </w:tcMar>
            <w:vAlign w:val="center"/>
          </w:tcPr>
          <w:p>
            <w:r>
              <w:rPr>
                <w:b/>
                <w:color w:val="1F4D78"/>
              </w:rPr>
              <w:t>Why it belongs</w:t>
            </w:r>
          </w:p>
        </w:tc>
        <w:tc>
          <w:tcPr>
            <w:tcW w:type="dxa" w:w="2560"/>
            <w:shd w:fill="E8EEF5"/>
            <w:tcMar>
              <w:top w:w="80" w:type="dxa"/>
              <w:start w:w="120" w:type="dxa"/>
              <w:bottom w:w="80" w:type="dxa"/>
              <w:end w:w="120" w:type="dxa"/>
            </w:tcMar>
            <w:vAlign w:val="center"/>
          </w:tcPr>
          <w:p>
            <w:r>
              <w:rPr>
                <w:b/>
                <w:color w:val="1F4D78"/>
              </w:rPr>
              <w:t>Main caution</w:t>
            </w:r>
          </w:p>
        </w:tc>
      </w:tr>
      <w:tr>
        <w:trPr>
          <w:cantSplit/>
        </w:trPr>
        <w:tc>
          <w:tcPr>
            <w:tcW w:type="dxa" w:w="1850"/>
            <w:tcMar>
              <w:top w:w="80" w:type="dxa"/>
              <w:start w:w="120" w:type="dxa"/>
              <w:bottom w:w="80" w:type="dxa"/>
              <w:end w:w="120" w:type="dxa"/>
            </w:tcMar>
            <w:vAlign w:val="center"/>
          </w:tcPr>
          <w:p>
            <w:r>
              <w:t>Dummy / Ridge</w:t>
            </w:r>
          </w:p>
        </w:tc>
        <w:tc>
          <w:tcPr>
            <w:tcW w:type="dxa" w:w="1850"/>
            <w:tcMar>
              <w:top w:w="80" w:type="dxa"/>
              <w:start w:w="120" w:type="dxa"/>
              <w:bottom w:w="80" w:type="dxa"/>
              <w:end w:w="120" w:type="dxa"/>
            </w:tcMar>
            <w:vAlign w:val="center"/>
          </w:tcPr>
          <w:p>
            <w:r>
              <w:t>Minimum baseline</w:t>
            </w:r>
          </w:p>
        </w:tc>
        <w:tc>
          <w:tcPr>
            <w:tcW w:type="dxa" w:w="3100"/>
            <w:tcMar>
              <w:top w:w="80" w:type="dxa"/>
              <w:start w:w="120" w:type="dxa"/>
              <w:bottom w:w="80" w:type="dxa"/>
              <w:end w:w="120" w:type="dxa"/>
            </w:tcMar>
            <w:vAlign w:val="center"/>
          </w:tcPr>
          <w:p>
            <w:r>
              <w:t>Proves that nonlinear models add value; Ridge is stable and interpretable</w:t>
            </w:r>
          </w:p>
        </w:tc>
        <w:tc>
          <w:tcPr>
            <w:tcW w:type="dxa" w:w="2560"/>
            <w:tcMar>
              <w:top w:w="80" w:type="dxa"/>
              <w:start w:w="120" w:type="dxa"/>
              <w:bottom w:w="80" w:type="dxa"/>
              <w:end w:w="120" w:type="dxa"/>
            </w:tcMar>
            <w:vAlign w:val="center"/>
          </w:tcPr>
          <w:p>
            <w:r>
              <w:t>Cannot capture complex interactions well</w:t>
            </w:r>
          </w:p>
        </w:tc>
      </w:tr>
      <w:tr>
        <w:trPr>
          <w:cantSplit/>
        </w:trPr>
        <w:tc>
          <w:tcPr>
            <w:tcW w:type="dxa" w:w="1850"/>
            <w:tcMar>
              <w:top w:w="80" w:type="dxa"/>
              <w:start w:w="120" w:type="dxa"/>
              <w:bottom w:w="80" w:type="dxa"/>
              <w:end w:w="120" w:type="dxa"/>
            </w:tcMar>
            <w:vAlign w:val="center"/>
          </w:tcPr>
          <w:p>
            <w:r>
              <w:t>Random Forest Regressor</w:t>
            </w:r>
          </w:p>
        </w:tc>
        <w:tc>
          <w:tcPr>
            <w:tcW w:type="dxa" w:w="1850"/>
            <w:tcMar>
              <w:top w:w="80" w:type="dxa"/>
              <w:start w:w="120" w:type="dxa"/>
              <w:bottom w:w="80" w:type="dxa"/>
              <w:end w:w="120" w:type="dxa"/>
            </w:tcMar>
            <w:vAlign w:val="center"/>
          </w:tcPr>
          <w:p>
            <w:r>
              <w:t>Tree baseline</w:t>
            </w:r>
          </w:p>
        </w:tc>
        <w:tc>
          <w:tcPr>
            <w:tcW w:type="dxa" w:w="3100"/>
            <w:tcMar>
              <w:top w:w="80" w:type="dxa"/>
              <w:start w:w="120" w:type="dxa"/>
              <w:bottom w:w="80" w:type="dxa"/>
              <w:end w:w="120" w:type="dxa"/>
            </w:tcMar>
            <w:vAlign w:val="center"/>
          </w:tcPr>
          <w:p>
            <w:r>
              <w:t>Familiar, robust, and useful for comparison/importance</w:t>
            </w:r>
          </w:p>
        </w:tc>
        <w:tc>
          <w:tcPr>
            <w:tcW w:type="dxa" w:w="2560"/>
            <w:tcMar>
              <w:top w:w="80" w:type="dxa"/>
              <w:start w:w="120" w:type="dxa"/>
              <w:bottom w:w="80" w:type="dxa"/>
              <w:end w:w="120" w:type="dxa"/>
            </w:tcMar>
            <w:vAlign w:val="center"/>
          </w:tcPr>
          <w:p>
            <w:r>
              <w:t>Memory use; weak extrapolation; may trail boosting</w:t>
            </w:r>
          </w:p>
        </w:tc>
      </w:tr>
      <w:tr>
        <w:trPr>
          <w:cantSplit/>
        </w:trPr>
        <w:tc>
          <w:tcPr>
            <w:tcW w:type="dxa" w:w="1850"/>
            <w:tcMar>
              <w:top w:w="80" w:type="dxa"/>
              <w:start w:w="120" w:type="dxa"/>
              <w:bottom w:w="80" w:type="dxa"/>
              <w:end w:w="120" w:type="dxa"/>
            </w:tcMar>
            <w:vAlign w:val="center"/>
          </w:tcPr>
          <w:p>
            <w:r>
              <w:t>XGBoost Regressor</w:t>
            </w:r>
          </w:p>
        </w:tc>
        <w:tc>
          <w:tcPr>
            <w:tcW w:type="dxa" w:w="1850"/>
            <w:tcMar>
              <w:top w:w="80" w:type="dxa"/>
              <w:start w:w="120" w:type="dxa"/>
              <w:bottom w:w="80" w:type="dxa"/>
              <w:end w:w="120" w:type="dxa"/>
            </w:tcMar>
            <w:vAlign w:val="center"/>
          </w:tcPr>
          <w:p>
            <w:r>
              <w:t>Primary performance candidate</w:t>
            </w:r>
          </w:p>
        </w:tc>
        <w:tc>
          <w:tcPr>
            <w:tcW w:type="dxa" w:w="3100"/>
            <w:tcMar>
              <w:top w:w="80" w:type="dxa"/>
              <w:start w:w="120" w:type="dxa"/>
              <w:bottom w:w="80" w:type="dxa"/>
              <w:end w:w="120" w:type="dxa"/>
            </w:tcMar>
            <w:vAlign w:val="center"/>
          </w:tcPr>
          <w:p>
            <w:r>
              <w:t>Strong tabular learner; nonlinear effects and interactions</w:t>
            </w:r>
          </w:p>
        </w:tc>
        <w:tc>
          <w:tcPr>
            <w:tcW w:type="dxa" w:w="2560"/>
            <w:tcMar>
              <w:top w:w="80" w:type="dxa"/>
              <w:start w:w="120" w:type="dxa"/>
              <w:bottom w:w="80" w:type="dxa"/>
              <w:end w:w="120" w:type="dxa"/>
            </w:tcMar>
            <w:vAlign w:val="center"/>
          </w:tcPr>
          <w:p>
            <w:r>
              <w:t>Tune and validate carefully; predicted averages can miss rare boundary cases</w:t>
            </w:r>
          </w:p>
        </w:tc>
      </w:tr>
    </w:tbl>
    <w:p>
      <w:pPr>
        <w:spacing w:after="0"/>
      </w:pPr>
    </w:p>
    <w:p>
      <w:r>
        <w:rPr>
          <w:b/>
        </w:rPr>
        <w:t xml:space="preserve">Evidence from prior IMTS testing: </w:t>
      </w:r>
      <w:r>
        <w:t>On the Field-Adjusted five-fold grouped cross-validation, XGBoost achieved mean MAE 448.49 psi versus 459.66 psi for Random Forest. The advantage was modest, so Random Forest should remain a comparison model rather than being discarded.</w:t>
      </w:r>
    </w:p>
    <w:p>
      <w:pPr>
        <w:pStyle w:val="Heading1"/>
      </w:pPr>
      <w:r>
        <w:t>6. Handling the approximately 5% failure class</w:t>
      </w:r>
    </w:p>
    <w:p>
      <w:pPr>
        <w:pStyle w:val="ListBullet"/>
      </w:pPr>
      <w:r>
        <w:t>Do not use accuracy as the primary classification metric. Predicting every record as Pass would appear to be about 95% accurate while detecting no failures.</w:t>
      </w:r>
    </w:p>
    <w:p>
      <w:pPr>
        <w:pStyle w:val="ListBullet"/>
      </w:pPr>
      <w:r>
        <w:t>Use class weighting or XGBoost scale_pos_weight as a starting candidate; calculate weights from each training fold only.</w:t>
      </w:r>
    </w:p>
    <w:p>
      <w:pPr>
        <w:pStyle w:val="ListBullet"/>
      </w:pPr>
      <w:r>
        <w:t>Do not automatically oversample before grouped splitting. If resampling is tested, apply it only inside each training fold.</w:t>
      </w:r>
    </w:p>
    <w:p>
      <w:pPr>
        <w:pStyle w:val="ListBullet"/>
      </w:pPr>
      <w:r>
        <w:t>Preserve the natural failure rate in validation and test sets.</w:t>
      </w:r>
    </w:p>
    <w:p>
      <w:pPr>
        <w:pStyle w:val="ListBullet"/>
      </w:pPr>
      <w:r>
        <w:t>Calibrate predicted probabilities on out-of-fold predictions or a separate calibration set.</w:t>
      </w:r>
    </w:p>
    <w:p>
      <w:pPr>
        <w:pStyle w:val="Heading1"/>
      </w:pPr>
      <w:r>
        <w:t>7. Metrics and model-selection rule</w:t>
      </w:r>
    </w:p>
    <w:tbl>
      <w:tblPr>
        <w:tblStyle w:val="TableGrid"/>
        <w:tblW w:type="dxa" w:w="9360"/>
        <w:tblLayout w:type="fixed"/>
        <w:tblLook w:firstColumn="1" w:firstRow="1" w:lastColumn="0" w:lastRow="0" w:noHBand="0" w:noVBand="1" w:val="04A0"/>
        <w:tblInd w:w="120" w:type="dxa"/>
      </w:tblPr>
      <w:tblGrid>
        <w:gridCol w:w="1900"/>
        <w:gridCol w:w="2550"/>
        <w:gridCol w:w="3210"/>
        <w:gridCol w:w="1700"/>
      </w:tblGrid>
      <w:tr>
        <w:trPr>
          <w:tblHeader w:val="true"/>
          <w:cantSplit/>
        </w:trPr>
        <w:tc>
          <w:tcPr>
            <w:tcW w:type="dxa" w:w="1900"/>
            <w:shd w:fill="E8EEF5"/>
            <w:tcMar>
              <w:top w:w="80" w:type="dxa"/>
              <w:start w:w="120" w:type="dxa"/>
              <w:bottom w:w="80" w:type="dxa"/>
              <w:end w:w="120" w:type="dxa"/>
            </w:tcMar>
            <w:vAlign w:val="center"/>
          </w:tcPr>
          <w:p>
            <w:r>
              <w:rPr>
                <w:b/>
                <w:color w:val="1F4D78"/>
              </w:rPr>
              <w:t>Analysis</w:t>
            </w:r>
          </w:p>
        </w:tc>
        <w:tc>
          <w:tcPr>
            <w:tcW w:type="dxa" w:w="2550"/>
            <w:shd w:fill="E8EEF5"/>
            <w:tcMar>
              <w:top w:w="80" w:type="dxa"/>
              <w:start w:w="120" w:type="dxa"/>
              <w:bottom w:w="80" w:type="dxa"/>
              <w:end w:w="120" w:type="dxa"/>
            </w:tcMar>
            <w:vAlign w:val="center"/>
          </w:tcPr>
          <w:p>
            <w:r>
              <w:rPr>
                <w:b/>
                <w:color w:val="1F4D78"/>
              </w:rPr>
              <w:t>Primary metrics</w:t>
            </w:r>
          </w:p>
        </w:tc>
        <w:tc>
          <w:tcPr>
            <w:tcW w:type="dxa" w:w="3210"/>
            <w:shd w:fill="E8EEF5"/>
            <w:tcMar>
              <w:top w:w="80" w:type="dxa"/>
              <w:start w:w="120" w:type="dxa"/>
              <w:bottom w:w="80" w:type="dxa"/>
              <w:end w:w="120" w:type="dxa"/>
            </w:tcMar>
            <w:vAlign w:val="center"/>
          </w:tcPr>
          <w:p>
            <w:r>
              <w:rPr>
                <w:b/>
                <w:color w:val="1F4D78"/>
              </w:rPr>
              <w:t>Supporting metrics</w:t>
            </w:r>
          </w:p>
        </w:tc>
        <w:tc>
          <w:tcPr>
            <w:tcW w:type="dxa" w:w="1700"/>
            <w:shd w:fill="E8EEF5"/>
            <w:tcMar>
              <w:top w:w="80" w:type="dxa"/>
              <w:start w:w="120" w:type="dxa"/>
              <w:bottom w:w="80" w:type="dxa"/>
              <w:end w:w="120" w:type="dxa"/>
            </w:tcMar>
            <w:vAlign w:val="center"/>
          </w:tcPr>
          <w:p>
            <w:r>
              <w:rPr>
                <w:b/>
                <w:color w:val="1F4D78"/>
              </w:rPr>
              <w:t>Do not lead with</w:t>
            </w:r>
          </w:p>
        </w:tc>
      </w:tr>
      <w:tr>
        <w:trPr>
          <w:cantSplit/>
        </w:trPr>
        <w:tc>
          <w:tcPr>
            <w:tcW w:type="dxa" w:w="1900"/>
            <w:tcMar>
              <w:top w:w="80" w:type="dxa"/>
              <w:start w:w="120" w:type="dxa"/>
              <w:bottom w:w="80" w:type="dxa"/>
              <w:end w:w="120" w:type="dxa"/>
            </w:tcMar>
            <w:vAlign w:val="center"/>
          </w:tcPr>
          <w:p>
            <w:r>
              <w:t>Classification</w:t>
            </w:r>
          </w:p>
        </w:tc>
        <w:tc>
          <w:tcPr>
            <w:tcW w:type="dxa" w:w="2550"/>
            <w:tcMar>
              <w:top w:w="80" w:type="dxa"/>
              <w:start w:w="120" w:type="dxa"/>
              <w:bottom w:w="80" w:type="dxa"/>
              <w:end w:w="120" w:type="dxa"/>
            </w:tcMar>
            <w:vAlign w:val="center"/>
          </w:tcPr>
          <w:p>
            <w:r>
              <w:t>PR-AUC; failure recall</w:t>
            </w:r>
          </w:p>
        </w:tc>
        <w:tc>
          <w:tcPr>
            <w:tcW w:type="dxa" w:w="3210"/>
            <w:tcMar>
              <w:top w:w="80" w:type="dxa"/>
              <w:start w:w="120" w:type="dxa"/>
              <w:bottom w:w="80" w:type="dxa"/>
              <w:end w:w="120" w:type="dxa"/>
            </w:tcMar>
            <w:vAlign w:val="center"/>
          </w:tcPr>
          <w:p>
            <w:r>
              <w:t>Precision, F2, FN/FP counts, calibration</w:t>
            </w:r>
          </w:p>
        </w:tc>
        <w:tc>
          <w:tcPr>
            <w:tcW w:type="dxa" w:w="1700"/>
            <w:tcMar>
              <w:top w:w="80" w:type="dxa"/>
              <w:start w:w="120" w:type="dxa"/>
              <w:bottom w:w="80" w:type="dxa"/>
              <w:end w:w="120" w:type="dxa"/>
            </w:tcMar>
            <w:vAlign w:val="center"/>
          </w:tcPr>
          <w:p>
            <w:r>
              <w:t>Accuracy; ROC-AUC alone</w:t>
            </w:r>
          </w:p>
        </w:tc>
      </w:tr>
      <w:tr>
        <w:trPr>
          <w:cantSplit/>
        </w:trPr>
        <w:tc>
          <w:tcPr>
            <w:tcW w:type="dxa" w:w="1900"/>
            <w:tcMar>
              <w:top w:w="80" w:type="dxa"/>
              <w:start w:w="120" w:type="dxa"/>
              <w:bottom w:w="80" w:type="dxa"/>
              <w:end w:w="120" w:type="dxa"/>
            </w:tcMar>
            <w:vAlign w:val="center"/>
          </w:tcPr>
          <w:p>
            <w:r>
              <w:t>Regression</w:t>
            </w:r>
          </w:p>
        </w:tc>
        <w:tc>
          <w:tcPr>
            <w:tcW w:type="dxa" w:w="2550"/>
            <w:tcMar>
              <w:top w:w="80" w:type="dxa"/>
              <w:start w:w="120" w:type="dxa"/>
              <w:bottom w:w="80" w:type="dxa"/>
              <w:end w:w="120" w:type="dxa"/>
            </w:tcMar>
            <w:vAlign w:val="center"/>
          </w:tcPr>
          <w:p>
            <w:r>
              <w:t>MAE; RMSE</w:t>
            </w:r>
          </w:p>
        </w:tc>
        <w:tc>
          <w:tcPr>
            <w:tcW w:type="dxa" w:w="3210"/>
            <w:tcMar>
              <w:top w:w="80" w:type="dxa"/>
              <w:start w:w="120" w:type="dxa"/>
              <w:bottom w:w="80" w:type="dxa"/>
              <w:end w:w="120" w:type="dxa"/>
            </w:tcMar>
            <w:vAlign w:val="center"/>
          </w:tcPr>
          <w:p>
            <w:r>
              <w:t>R², mean bias, within ±250/±500 psi</w:t>
            </w:r>
          </w:p>
        </w:tc>
        <w:tc>
          <w:tcPr>
            <w:tcW w:type="dxa" w:w="1700"/>
            <w:tcMar>
              <w:top w:w="80" w:type="dxa"/>
              <w:start w:w="120" w:type="dxa"/>
              <w:bottom w:w="80" w:type="dxa"/>
              <w:end w:w="120" w:type="dxa"/>
            </w:tcMar>
            <w:vAlign w:val="center"/>
          </w:tcPr>
          <w:p>
            <w:r>
              <w:t>R² alone</w:t>
            </w:r>
          </w:p>
        </w:tc>
      </w:tr>
    </w:tbl>
    <w:p>
      <w:pPr>
        <w:spacing w:after="0"/>
      </w:pPr>
    </w:p>
    <w:p>
      <w:r>
        <w:rPr>
          <w:b/>
        </w:rPr>
        <w:t xml:space="preserve">Recommended selection principle: </w:t>
      </w:r>
      <w:r>
        <w:t>Choose the model that meets a business-defined minimum failure recall with the fewest manageable false alarms, remains stable across project-grouped folds and a future time holdout, and produces reasonably calibrated probabilities.</w:t>
      </w:r>
    </w:p>
    <w:p>
      <w:pPr>
        <w:pStyle w:val="Heading1"/>
      </w:pPr>
      <w:r>
        <w:t>8. Threshold selection</w:t>
      </w:r>
    </w:p>
    <w:p>
      <w:r>
        <w:t>The default probability threshold of 0.50 is not automatically correct for a 5% failure problem. Threshold selection is a business decision supported by validation results.</w:t>
      </w:r>
    </w:p>
    <w:tbl>
      <w:tblPr>
        <w:tblStyle w:val="TableGrid"/>
        <w:tblW w:type="dxa" w:w="9360"/>
        <w:tblLayout w:type="fixed"/>
        <w:tblLook w:firstColumn="1" w:firstRow="1" w:lastColumn="0" w:lastRow="0" w:noHBand="0" w:noVBand="1" w:val="04A0"/>
        <w:tblInd w:w="120" w:type="dxa"/>
      </w:tblPr>
      <w:tblGrid>
        <w:gridCol w:w="2000"/>
        <w:gridCol w:w="3100"/>
        <w:gridCol w:w="4260"/>
      </w:tblGrid>
      <w:tr>
        <w:trPr>
          <w:tblHeader w:val="true"/>
          <w:cantSplit/>
        </w:trPr>
        <w:tc>
          <w:tcPr>
            <w:tcW w:type="dxa" w:w="2000"/>
            <w:shd w:fill="E8EEF5"/>
            <w:tcMar>
              <w:top w:w="80" w:type="dxa"/>
              <w:start w:w="120" w:type="dxa"/>
              <w:bottom w:w="80" w:type="dxa"/>
              <w:end w:w="120" w:type="dxa"/>
            </w:tcMar>
            <w:vAlign w:val="center"/>
          </w:tcPr>
          <w:p>
            <w:r>
              <w:rPr>
                <w:b/>
                <w:color w:val="1F4D78"/>
              </w:rPr>
              <w:t>Threshold direction</w:t>
            </w:r>
          </w:p>
        </w:tc>
        <w:tc>
          <w:tcPr>
            <w:tcW w:type="dxa" w:w="3100"/>
            <w:shd w:fill="E8EEF5"/>
            <w:tcMar>
              <w:top w:w="80" w:type="dxa"/>
              <w:start w:w="120" w:type="dxa"/>
              <w:bottom w:w="80" w:type="dxa"/>
              <w:end w:w="120" w:type="dxa"/>
            </w:tcMar>
            <w:vAlign w:val="center"/>
          </w:tcPr>
          <w:p>
            <w:r>
              <w:rPr>
                <w:b/>
                <w:color w:val="1F4D78"/>
              </w:rPr>
              <w:t>Expected effect</w:t>
            </w:r>
          </w:p>
        </w:tc>
        <w:tc>
          <w:tcPr>
            <w:tcW w:type="dxa" w:w="4260"/>
            <w:shd w:fill="E8EEF5"/>
            <w:tcMar>
              <w:top w:w="80" w:type="dxa"/>
              <w:start w:w="120" w:type="dxa"/>
              <w:bottom w:w="80" w:type="dxa"/>
              <w:end w:w="120" w:type="dxa"/>
            </w:tcMar>
            <w:vAlign w:val="center"/>
          </w:tcPr>
          <w:p>
            <w:r>
              <w:rPr>
                <w:b/>
                <w:color w:val="1F4D78"/>
              </w:rPr>
              <w:t>Business trade-off</w:t>
            </w:r>
          </w:p>
        </w:tc>
      </w:tr>
      <w:tr>
        <w:trPr>
          <w:cantSplit/>
        </w:trPr>
        <w:tc>
          <w:tcPr>
            <w:tcW w:type="dxa" w:w="2000"/>
            <w:tcMar>
              <w:top w:w="80" w:type="dxa"/>
              <w:start w:w="120" w:type="dxa"/>
              <w:bottom w:w="80" w:type="dxa"/>
              <w:end w:w="120" w:type="dxa"/>
            </w:tcMar>
            <w:vAlign w:val="center"/>
          </w:tcPr>
          <w:p>
            <w:r>
              <w:t>Lower threshold</w:t>
            </w:r>
          </w:p>
        </w:tc>
        <w:tc>
          <w:tcPr>
            <w:tcW w:type="dxa" w:w="3100"/>
            <w:tcMar>
              <w:top w:w="80" w:type="dxa"/>
              <w:start w:w="120" w:type="dxa"/>
              <w:bottom w:w="80" w:type="dxa"/>
              <w:end w:w="120" w:type="dxa"/>
            </w:tcMar>
            <w:vAlign w:val="center"/>
          </w:tcPr>
          <w:p>
            <w:r>
              <w:t>Higher recall; more failure alerts</w:t>
            </w:r>
          </w:p>
        </w:tc>
        <w:tc>
          <w:tcPr>
            <w:tcW w:type="dxa" w:w="4260"/>
            <w:tcMar>
              <w:top w:w="80" w:type="dxa"/>
              <w:start w:w="120" w:type="dxa"/>
              <w:bottom w:w="80" w:type="dxa"/>
              <w:end w:w="120" w:type="dxa"/>
            </w:tcMar>
            <w:vAlign w:val="center"/>
          </w:tcPr>
          <w:p>
            <w:r>
              <w:t>Fewer missed failures, more false alarms/reviews</w:t>
            </w:r>
          </w:p>
        </w:tc>
      </w:tr>
      <w:tr>
        <w:trPr>
          <w:cantSplit/>
        </w:trPr>
        <w:tc>
          <w:tcPr>
            <w:tcW w:type="dxa" w:w="2000"/>
            <w:tcMar>
              <w:top w:w="80" w:type="dxa"/>
              <w:start w:w="120" w:type="dxa"/>
              <w:bottom w:w="80" w:type="dxa"/>
              <w:end w:w="120" w:type="dxa"/>
            </w:tcMar>
            <w:vAlign w:val="center"/>
          </w:tcPr>
          <w:p>
            <w:r>
              <w:t>Higher threshold</w:t>
            </w:r>
          </w:p>
        </w:tc>
        <w:tc>
          <w:tcPr>
            <w:tcW w:type="dxa" w:w="3100"/>
            <w:tcMar>
              <w:top w:w="80" w:type="dxa"/>
              <w:start w:w="120" w:type="dxa"/>
              <w:bottom w:w="80" w:type="dxa"/>
              <w:end w:w="120" w:type="dxa"/>
            </w:tcMar>
            <w:vAlign w:val="center"/>
          </w:tcPr>
          <w:p>
            <w:r>
              <w:t>Higher precision; fewer alerts</w:t>
            </w:r>
          </w:p>
        </w:tc>
        <w:tc>
          <w:tcPr>
            <w:tcW w:type="dxa" w:w="4260"/>
            <w:tcMar>
              <w:top w:w="80" w:type="dxa"/>
              <w:start w:w="120" w:type="dxa"/>
              <w:bottom w:w="80" w:type="dxa"/>
              <w:end w:w="120" w:type="dxa"/>
            </w:tcMar>
            <w:vAlign w:val="center"/>
          </w:tcPr>
          <w:p>
            <w:r>
              <w:t>Less review burden, more missed failures</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start w:w="120" w:type="dxa"/>
              <w:bottom w:w="80" w:type="dxa"/>
              <w:end w:w="120" w:type="dxa"/>
            </w:tcMar>
            <w:vAlign w:val="center"/>
          </w:tcPr>
          <w:p>
            <w:r>
              <w:rPr>
                <w:b/>
                <w:color w:val="1F4D78"/>
              </w:rPr>
              <w:t xml:space="preserve">Recommended process: </w:t>
            </w:r>
            <w:r>
              <w:t>For every candidate threshold, report TP, FN, FP, TN, recall, precision, and the percentage of all tests sent for review. Select the threshold from out-of-fold training predictions; confirm it once on the untouched holdout.</w:t>
            </w:r>
          </w:p>
        </w:tc>
      </w:tr>
    </w:tbl>
    <w:p>
      <w:pPr>
        <w:spacing w:after="0"/>
      </w:pPr>
    </w:p>
    <w:p>
      <w:pPr>
        <w:pStyle w:val="Heading1"/>
      </w:pPr>
      <w:r>
        <w:t>9. Validation design</w:t>
      </w:r>
    </w:p>
    <w:p>
      <w:pPr>
        <w:pStyle w:val="ListBullet"/>
      </w:pPr>
      <w:r>
        <w:t>Primary validation: project-grouped cross-validation to prevent the same project's related records from appearing in both training and validation.</w:t>
      </w:r>
    </w:p>
    <w:p>
      <w:pPr>
        <w:pStyle w:val="ListBullet"/>
      </w:pPr>
      <w:r>
        <w:t>Secondary validation: future time holdout to simulate deployment on later concrete tests.</w:t>
      </w:r>
    </w:p>
    <w:p>
      <w:pPr>
        <w:pStyle w:val="ListBullet"/>
      </w:pPr>
      <w:r>
        <w:t>Context encodings for SupplierName, plantNumber, and mixNumber must be built inside each training fold.</w:t>
      </w:r>
    </w:p>
    <w:p>
      <w:pPr>
        <w:pStyle w:val="ListBullet"/>
      </w:pPr>
      <w:r>
        <w:t>Compare all candidate models on identical eligible records, folds, preprocessing, and targets.</w:t>
      </w:r>
    </w:p>
    <w:p>
      <w:pPr>
        <w:pStyle w:val="ListBullet"/>
      </w:pPr>
      <w:r>
        <w:t>Report performance separately for within-spec and out-of-spec field measurements, and especially for within-spec tests that later fail.</w:t>
      </w:r>
    </w:p>
    <w:p>
      <w:pPr>
        <w:pStyle w:val="Heading1"/>
      </w:pPr>
      <w:r>
        <w:t>10. Recommended experiment sequence</w:t>
      </w:r>
    </w:p>
    <w:tbl>
      <w:tblPr>
        <w:tblStyle w:val="TableGrid"/>
        <w:tblW w:type="dxa" w:w="9360"/>
        <w:tblLayout w:type="fixed"/>
        <w:tblLook w:firstColumn="1" w:firstRow="1" w:lastColumn="0" w:lastRow="0" w:noHBand="0" w:noVBand="1" w:val="04A0"/>
        <w:tblInd w:w="120" w:type="dxa"/>
      </w:tblPr>
      <w:tblGrid>
        <w:gridCol w:w="900"/>
        <w:gridCol w:w="4350"/>
        <w:gridCol w:w="4110"/>
      </w:tblGrid>
      <w:tr>
        <w:trPr>
          <w:tblHeader w:val="true"/>
          <w:cantSplit/>
        </w:trPr>
        <w:tc>
          <w:tcPr>
            <w:tcW w:type="dxa" w:w="900"/>
            <w:shd w:fill="E8EEF5"/>
            <w:tcMar>
              <w:top w:w="80" w:type="dxa"/>
              <w:start w:w="120" w:type="dxa"/>
              <w:bottom w:w="80" w:type="dxa"/>
              <w:end w:w="120" w:type="dxa"/>
            </w:tcMar>
            <w:vAlign w:val="center"/>
          </w:tcPr>
          <w:p>
            <w:r>
              <w:rPr>
                <w:b/>
                <w:color w:val="1F4D78"/>
              </w:rPr>
              <w:t>Step</w:t>
            </w:r>
          </w:p>
        </w:tc>
        <w:tc>
          <w:tcPr>
            <w:tcW w:type="dxa" w:w="4350"/>
            <w:shd w:fill="E8EEF5"/>
            <w:tcMar>
              <w:top w:w="80" w:type="dxa"/>
              <w:start w:w="120" w:type="dxa"/>
              <w:bottom w:w="80" w:type="dxa"/>
              <w:end w:w="120" w:type="dxa"/>
            </w:tcMar>
            <w:vAlign w:val="center"/>
          </w:tcPr>
          <w:p>
            <w:r>
              <w:rPr>
                <w:b/>
                <w:color w:val="1F4D78"/>
              </w:rPr>
              <w:t>Experiment</w:t>
            </w:r>
          </w:p>
        </w:tc>
        <w:tc>
          <w:tcPr>
            <w:tcW w:type="dxa" w:w="4110"/>
            <w:shd w:fill="E8EEF5"/>
            <w:tcMar>
              <w:top w:w="80" w:type="dxa"/>
              <w:start w:w="120" w:type="dxa"/>
              <w:bottom w:w="80" w:type="dxa"/>
              <w:end w:w="120" w:type="dxa"/>
            </w:tcMar>
            <w:vAlign w:val="center"/>
          </w:tcPr>
          <w:p>
            <w:r>
              <w:rPr>
                <w:b/>
                <w:color w:val="1F4D78"/>
              </w:rPr>
              <w:t>Decision answered</w:t>
            </w:r>
          </w:p>
        </w:tc>
      </w:tr>
      <w:tr>
        <w:trPr>
          <w:cantSplit/>
        </w:trPr>
        <w:tc>
          <w:tcPr>
            <w:tcW w:type="dxa" w:w="900"/>
            <w:tcMar>
              <w:top w:w="80" w:type="dxa"/>
              <w:start w:w="120" w:type="dxa"/>
              <w:bottom w:w="80" w:type="dxa"/>
              <w:end w:w="120" w:type="dxa"/>
            </w:tcMar>
            <w:vAlign w:val="center"/>
          </w:tcPr>
          <w:p>
            <w:r>
              <w:t>1</w:t>
            </w:r>
          </w:p>
        </w:tc>
        <w:tc>
          <w:tcPr>
            <w:tcW w:type="dxa" w:w="4350"/>
            <w:tcMar>
              <w:top w:w="80" w:type="dxa"/>
              <w:start w:w="120" w:type="dxa"/>
              <w:bottom w:w="80" w:type="dxa"/>
              <w:end w:w="120" w:type="dxa"/>
            </w:tcMar>
            <w:vAlign w:val="center"/>
          </w:tcPr>
          <w:p>
            <w:r>
              <w:t>Specification rule → FailureFlag28</w:t>
            </w:r>
          </w:p>
        </w:tc>
        <w:tc>
          <w:tcPr>
            <w:tcW w:type="dxa" w:w="4110"/>
            <w:tcMar>
              <w:top w:w="80" w:type="dxa"/>
              <w:start w:w="120" w:type="dxa"/>
              <w:bottom w:w="80" w:type="dxa"/>
              <w:end w:w="120" w:type="dxa"/>
            </w:tcMar>
            <w:vAlign w:val="center"/>
          </w:tcPr>
          <w:p>
            <w:r>
              <w:t>How much can simple compliance detect?</w:t>
            </w:r>
          </w:p>
        </w:tc>
      </w:tr>
      <w:tr>
        <w:trPr>
          <w:cantSplit/>
        </w:trPr>
        <w:tc>
          <w:tcPr>
            <w:tcW w:type="dxa" w:w="900"/>
            <w:tcMar>
              <w:top w:w="80" w:type="dxa"/>
              <w:start w:w="120" w:type="dxa"/>
              <w:bottom w:w="80" w:type="dxa"/>
              <w:end w:w="120" w:type="dxa"/>
            </w:tcMar>
            <w:vAlign w:val="center"/>
          </w:tcPr>
          <w:p>
            <w:r>
              <w:t>2</w:t>
            </w:r>
          </w:p>
        </w:tc>
        <w:tc>
          <w:tcPr>
            <w:tcW w:type="dxa" w:w="4350"/>
            <w:tcMar>
              <w:top w:w="80" w:type="dxa"/>
              <w:start w:w="120" w:type="dxa"/>
              <w:bottom w:w="80" w:type="dxa"/>
              <w:end w:w="120" w:type="dxa"/>
            </w:tcMar>
            <w:vAlign w:val="center"/>
          </w:tcPr>
          <w:p>
            <w:r>
              <w:t>Logistic Regression vs XGBoost Classifier</w:t>
            </w:r>
          </w:p>
        </w:tc>
        <w:tc>
          <w:tcPr>
            <w:tcW w:type="dxa" w:w="4110"/>
            <w:tcMar>
              <w:top w:w="80" w:type="dxa"/>
              <w:start w:w="120" w:type="dxa"/>
              <w:bottom w:w="80" w:type="dxa"/>
              <w:end w:w="120" w:type="dxa"/>
            </w:tcMar>
            <w:vAlign w:val="center"/>
          </w:tcPr>
          <w:p>
            <w:r>
              <w:t>Does nonlinear ML materially improve failure detection?</w:t>
            </w:r>
          </w:p>
        </w:tc>
      </w:tr>
      <w:tr>
        <w:trPr>
          <w:cantSplit/>
        </w:trPr>
        <w:tc>
          <w:tcPr>
            <w:tcW w:type="dxa" w:w="900"/>
            <w:tcMar>
              <w:top w:w="80" w:type="dxa"/>
              <w:start w:w="120" w:type="dxa"/>
              <w:bottom w:w="80" w:type="dxa"/>
              <w:end w:w="120" w:type="dxa"/>
            </w:tcMar>
            <w:vAlign w:val="center"/>
          </w:tcPr>
          <w:p>
            <w:r>
              <w:t>3</w:t>
            </w:r>
          </w:p>
        </w:tc>
        <w:tc>
          <w:tcPr>
            <w:tcW w:type="dxa" w:w="4350"/>
            <w:tcMar>
              <w:top w:w="80" w:type="dxa"/>
              <w:start w:w="120" w:type="dxa"/>
              <w:bottom w:w="80" w:type="dxa"/>
              <w:end w:w="120" w:type="dxa"/>
            </w:tcMar>
            <w:vAlign w:val="center"/>
          </w:tcPr>
          <w:p>
            <w:r>
              <w:t>Dummy/Ridge vs Random Forest vs XGBoost Regressor</w:t>
            </w:r>
          </w:p>
        </w:tc>
        <w:tc>
          <w:tcPr>
            <w:tcW w:type="dxa" w:w="4110"/>
            <w:tcMar>
              <w:top w:w="80" w:type="dxa"/>
              <w:start w:w="120" w:type="dxa"/>
              <w:bottom w:w="80" w:type="dxa"/>
              <w:end w:w="120" w:type="dxa"/>
            </w:tcMar>
            <w:vAlign w:val="center"/>
          </w:tcPr>
          <w:p>
            <w:r>
              <w:t>Which model predicts strength most accurately and stably?</w:t>
            </w:r>
          </w:p>
        </w:tc>
      </w:tr>
      <w:tr>
        <w:trPr>
          <w:cantSplit/>
        </w:trPr>
        <w:tc>
          <w:tcPr>
            <w:tcW w:type="dxa" w:w="900"/>
            <w:tcMar>
              <w:top w:w="80" w:type="dxa"/>
              <w:start w:w="120" w:type="dxa"/>
              <w:bottom w:w="80" w:type="dxa"/>
              <w:end w:w="120" w:type="dxa"/>
            </w:tcMar>
            <w:vAlign w:val="center"/>
          </w:tcPr>
          <w:p>
            <w:r>
              <w:t>4</w:t>
            </w:r>
          </w:p>
        </w:tc>
        <w:tc>
          <w:tcPr>
            <w:tcW w:type="dxa" w:w="4350"/>
            <w:tcMar>
              <w:top w:w="80" w:type="dxa"/>
              <w:start w:w="120" w:type="dxa"/>
              <w:bottom w:w="80" w:type="dxa"/>
              <w:end w:w="120" w:type="dxa"/>
            </w:tcMar>
            <w:vAlign w:val="center"/>
          </w:tcPr>
          <w:p>
            <w:r>
              <w:t>Direct classifier vs regression-implied failure</w:t>
            </w:r>
          </w:p>
        </w:tc>
        <w:tc>
          <w:tcPr>
            <w:tcW w:type="dxa" w:w="4110"/>
            <w:tcMar>
              <w:top w:w="80" w:type="dxa"/>
              <w:start w:w="120" w:type="dxa"/>
              <w:bottom w:w="80" w:type="dxa"/>
              <w:end w:w="120" w:type="dxa"/>
            </w:tcMar>
            <w:vAlign w:val="center"/>
          </w:tcPr>
          <w:p>
            <w:r>
              <w:t>Which approach finds rare failures better?</w:t>
            </w:r>
          </w:p>
        </w:tc>
      </w:tr>
      <w:tr>
        <w:trPr>
          <w:cantSplit/>
        </w:trPr>
        <w:tc>
          <w:tcPr>
            <w:tcW w:type="dxa" w:w="900"/>
            <w:tcMar>
              <w:top w:w="80" w:type="dxa"/>
              <w:start w:w="120" w:type="dxa"/>
              <w:bottom w:w="80" w:type="dxa"/>
              <w:end w:w="120" w:type="dxa"/>
            </w:tcMar>
            <w:vAlign w:val="center"/>
          </w:tcPr>
          <w:p>
            <w:r>
              <w:t>5</w:t>
            </w:r>
          </w:p>
        </w:tc>
        <w:tc>
          <w:tcPr>
            <w:tcW w:type="dxa" w:w="4350"/>
            <w:tcMar>
              <w:top w:w="80" w:type="dxa"/>
              <w:start w:w="120" w:type="dxa"/>
              <w:bottom w:w="80" w:type="dxa"/>
              <w:end w:w="120" w:type="dxa"/>
            </w:tcMar>
            <w:vAlign w:val="center"/>
          </w:tcPr>
          <w:p>
            <w:r>
              <w:t>Day-0 vs Day-7 models</w:t>
            </w:r>
          </w:p>
        </w:tc>
        <w:tc>
          <w:tcPr>
            <w:tcW w:type="dxa" w:w="4110"/>
            <w:tcMar>
              <w:top w:w="80" w:type="dxa"/>
              <w:start w:w="120" w:type="dxa"/>
              <w:bottom w:w="80" w:type="dxa"/>
              <w:end w:w="120" w:type="dxa"/>
            </w:tcMar>
            <w:vAlign w:val="center"/>
          </w:tcPr>
          <w:p>
            <w:r>
              <w:t>How much value does 7-day strength add?</w:t>
            </w:r>
          </w:p>
        </w:tc>
      </w:tr>
      <w:tr>
        <w:trPr>
          <w:cantSplit/>
        </w:trPr>
        <w:tc>
          <w:tcPr>
            <w:tcW w:type="dxa" w:w="900"/>
            <w:tcMar>
              <w:top w:w="80" w:type="dxa"/>
              <w:start w:w="120" w:type="dxa"/>
              <w:bottom w:w="80" w:type="dxa"/>
              <w:end w:w="120" w:type="dxa"/>
            </w:tcMar>
            <w:vAlign w:val="center"/>
          </w:tcPr>
          <w:p>
            <w:r>
              <w:t>6</w:t>
            </w:r>
          </w:p>
        </w:tc>
        <w:tc>
          <w:tcPr>
            <w:tcW w:type="dxa" w:w="4350"/>
            <w:tcMar>
              <w:top w:w="80" w:type="dxa"/>
              <w:start w:w="120" w:type="dxa"/>
              <w:bottom w:w="80" w:type="dxa"/>
              <w:end w:w="120" w:type="dxa"/>
            </w:tcMar>
            <w:vAlign w:val="center"/>
          </w:tcPr>
          <w:p>
            <w:r>
              <w:t>Field-Core vs Batch-Enhanced subset</w:t>
            </w:r>
          </w:p>
        </w:tc>
        <w:tc>
          <w:tcPr>
            <w:tcW w:type="dxa" w:w="4110"/>
            <w:tcMar>
              <w:top w:w="80" w:type="dxa"/>
              <w:start w:w="120" w:type="dxa"/>
              <w:bottom w:w="80" w:type="dxa"/>
              <w:end w:w="120" w:type="dxa"/>
            </w:tcMar>
            <w:vAlign w:val="center"/>
          </w:tcPr>
          <w:p>
            <w:r>
              <w:t>Does sparse batch data add enough value?</w:t>
            </w:r>
          </w:p>
        </w:tc>
      </w:tr>
    </w:tbl>
    <w:p>
      <w:pPr>
        <w:spacing w:after="0"/>
      </w:pPr>
    </w:p>
    <w:p>
      <w:pPr>
        <w:pStyle w:val="Heading1"/>
      </w:pPr>
      <w:r>
        <w:t>11. Final recommendation</w:t>
      </w:r>
    </w:p>
    <w:p>
      <w:pPr>
        <w:pStyle w:val="ListBullet"/>
      </w:pPr>
      <w:r>
        <w:t>Primary operational model: XGBoost Classifier for Day-0 and Day-7 failure probability.</w:t>
      </w:r>
    </w:p>
    <w:p>
      <w:pPr>
        <w:pStyle w:val="ListBullet"/>
      </w:pPr>
      <w:r>
        <w:t>Required interpretability baseline: Logistic Regression.</w:t>
      </w:r>
    </w:p>
    <w:p>
      <w:pPr>
        <w:pStyle w:val="ListBullet"/>
      </w:pPr>
      <w:r>
        <w:t>Required business baseline: HasAnyFieldMeasurementOutOfSpec specification rule.</w:t>
      </w:r>
    </w:p>
    <w:p>
      <w:pPr>
        <w:pStyle w:val="ListBullet"/>
      </w:pPr>
      <w:r>
        <w:t>Supporting numerical model: XGBoost Regressor for predicted 28-day strength and predicted strength margin.</w:t>
      </w:r>
    </w:p>
    <w:p>
      <w:pPr>
        <w:pStyle w:val="ListBullet"/>
      </w:pPr>
      <w:r>
        <w:t>Required regression baselines: Dummy/Ridge and Random Forest.</w:t>
      </w:r>
    </w:p>
    <w:p>
      <w:pPr>
        <w:pStyle w:val="ListBullet"/>
      </w:pPr>
      <w:r>
        <w:t>Final decision must be based on grouped CV, future holdout, failure recall/precision trade-off, calibration, and operational review capacity—not on accuracy alone.</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D9EAF7"/>
            <w:tcMar>
              <w:top w:w="80" w:type="dxa"/>
              <w:start w:w="120" w:type="dxa"/>
              <w:bottom w:w="80" w:type="dxa"/>
              <w:end w:w="120" w:type="dxa"/>
            </w:tcMar>
            <w:vAlign w:val="center"/>
          </w:tcPr>
          <w:p>
            <w:r>
              <w:rPr>
                <w:b/>
                <w:color w:val="1F4D78"/>
              </w:rPr>
              <w:t xml:space="preserve">Bottom line: </w:t>
            </w:r>
            <w:r>
              <w:t>Because failure detection is the priority and failures are only about 5%, the classifier should drive the alert. The regressor should accompany it to quantify the expected strength and distance from the requirement. Keeping both provides a more useful and defensible decision-support system than forcing one model to do both jobs.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IMTS Concrete ML Model Recommendation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IMTS CONCRETE ML | MODEL SELECTION DECISION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