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9"/>
        </w:rPr>
        <w:t>IMTS MIX OPTIMIZATION ANALYSIS</w:t>
      </w:r>
    </w:p>
    <w:p>
      <w:pPr>
        <w:spacing w:before="0" w:after="40"/>
      </w:pPr>
      <w:r>
        <w:rPr>
          <w:rFonts w:ascii="Calibri" w:hAnsi="Calibri"/>
          <w:b/>
          <w:i w:val="0"/>
          <w:color w:val="17365D"/>
          <w:sz w:val="44"/>
        </w:rPr>
        <w:t>Best Use of Available IMTS Data</w:t>
      </w:r>
    </w:p>
    <w:p>
      <w:pPr>
        <w:spacing w:after="160"/>
      </w:pPr>
      <w:r>
        <w:rPr>
          <w:rFonts w:ascii="Calibri" w:hAnsi="Calibri"/>
          <w:b w:val="0"/>
          <w:i w:val="0"/>
          <w:color w:val="667085"/>
          <w:sz w:val="20"/>
        </w:rPr>
        <w:t>A practical path from historical batch records to materials-engineer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59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 xml:space="preserve">RECOMMENDATION  </w:t>
            </w: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Use IMTS to screen proven historical mixes and identify engineering-review candidates. Current data does not support fully automated mix redesign or cement reduction.</w:t>
            </w:r>
          </w:p>
        </w:tc>
      </w:tr>
    </w:tbl>
    <w:p>
      <w:pPr>
        <w:pStyle w:val="Heading2"/>
        <w:keepNext/>
      </w:pPr>
      <w:r>
        <w:t>Evidence from the machine-learning test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300"/>
        <w:gridCol w:w="1080"/>
        <w:gridCol w:w="1080"/>
        <w:gridCol w:w="1250"/>
        <w:gridCol w:w="1225"/>
        <w:gridCol w:w="1225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Model scope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Best model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Records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Mean R²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R² range</w:t>
            </w:r>
          </w:p>
        </w:tc>
        <w:tc>
          <w:tcPr>
            <w:tcW w:type="dxa" w:w="1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MAE (psi)</w:t>
            </w:r>
          </w:p>
        </w:tc>
        <w:tc>
          <w:tcPr>
            <w:tcW w:type="dxa" w:w="1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6"/>
              </w:rPr>
              <w:t>P90 error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Batch-only strength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ExtraTrees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13,133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7"/>
              </w:rPr>
              <w:t>0.405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0.263–0.520</w:t>
            </w:r>
          </w:p>
        </w:tc>
        <w:tc>
          <w:tcPr>
            <w:tcW w:type="dxa" w:w="1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545</w:t>
            </w:r>
          </w:p>
        </w:tc>
        <w:tc>
          <w:tcPr>
            <w:tcW w:type="dxa" w:w="12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1,092 psi</w:t>
            </w:r>
          </w:p>
        </w:tc>
      </w:tr>
    </w:tbl>
    <w:p>
      <w:pPr>
        <w:spacing w:before="60" w:after="40" w:line="252" w:lineRule="auto"/>
      </w:pPr>
      <w:r>
        <w:rPr>
          <w:rFonts w:ascii="Calibri" w:hAnsi="Calibri"/>
          <w:b/>
          <w:i w:val="0"/>
          <w:color w:val="1F4D78"/>
          <w:sz w:val="17"/>
        </w:rPr>
        <w:t xml:space="preserve">Finding: </w:t>
      </w:r>
      <w:r>
        <w:rPr>
          <w:rFonts w:ascii="Calibri" w:hAnsi="Calibri"/>
          <w:b w:val="0"/>
          <w:i/>
          <w:color w:val="667085"/>
          <w:sz w:val="17"/>
        </w:rPr>
        <w:t>Batch data contains useful signal, but project-to-project variability and prediction error are too large for automatic optimization.</w:t>
      </w:r>
    </w:p>
    <w:p>
      <w:pPr>
        <w:pStyle w:val="Heading2"/>
        <w:keepNext/>
      </w:pPr>
      <w:r>
        <w:t>Recommended IMTS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50"/>
        <w:gridCol w:w="2150"/>
        <w:gridCol w:w="1780"/>
        <w:gridCol w:w="168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1  </w:t>
            </w: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Select office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2  </w:t>
            </w: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Keep projects with ≥30 tests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3  </w:t>
            </w: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Group by supplier–plant–mix–strength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4  </w:t>
            </w: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Calculate risk and performance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 xml:space="preserve">5  </w:t>
            </w:r>
            <w:r>
              <w:rPr>
                <w:rFonts w:ascii="Calibri" w:hAnsi="Calibri"/>
                <w:b/>
                <w:i w:val="0"/>
                <w:color w:val="17365D"/>
                <w:sz w:val="17"/>
              </w:rPr>
              <w:t>Engineer review</w:t>
            </w:r>
          </w:p>
        </w:tc>
      </w:tr>
    </w:tbl>
    <w:p>
      <w:pPr>
        <w:pStyle w:val="Heading2"/>
        <w:keepNext/>
      </w:pPr>
      <w:r>
        <w:t>Use case — Project 19225, Los Alamos Transit Mix, Plant 1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40"/>
        <w:gridCol w:w="1420"/>
        <w:gridCol w:w="880"/>
        <w:gridCol w:w="1210"/>
        <w:gridCol w:w="1060"/>
        <w:gridCol w:w="1020"/>
        <w:gridCol w:w="1110"/>
        <w:gridCol w:w="1620"/>
      </w:tblGrid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Mix</w:t>
            </w:r>
          </w:p>
        </w:tc>
        <w:tc>
          <w:tcPr>
            <w:tcW w:type="dxa" w:w="1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Review flag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Tests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Avg strength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Failure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Avg margin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P10 margin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5"/>
              </w:rPr>
              <w:t>Cementitious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4K</w:t>
            </w:r>
          </w:p>
        </w:tc>
        <w:tc>
          <w:tcPr>
            <w:tcW w:type="dxa" w:w="142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9B1C1C"/>
                <w:sz w:val="16"/>
              </w:rPr>
              <w:t>Quality Risk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4,531 psi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12.5%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+531 psi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−5 psi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615.7 lb/yd³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4KI</w:t>
            </w:r>
          </w:p>
        </w:tc>
        <w:tc>
          <w:tcPr>
            <w:tcW w:type="dxa" w:w="1420"/>
            <w:shd w:fill="FFF3C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8A6200"/>
                <w:sz w:val="16"/>
              </w:rPr>
              <w:t>Optimization Review</w:t>
            </w:r>
          </w:p>
        </w:tc>
        <w:tc>
          <w:tcPr>
            <w:tcW w:type="dxa" w:w="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6,534 psi</w:t>
            </w:r>
          </w:p>
        </w:tc>
        <w:tc>
          <w:tcPr>
            <w:tcW w:type="dxa" w:w="1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1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+2,534 psi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+1,996 psi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616.4 lb/yd³</w:t>
            </w:r>
          </w:p>
        </w:tc>
      </w:tr>
    </w:tbl>
    <w:p>
      <w:pPr>
        <w:spacing w:before="0" w:after="4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Interpretation. </w:t>
      </w:r>
      <w:r>
        <w:rPr>
          <w:rFonts w:ascii="Calibri" w:hAnsi="Calibri"/>
          <w:b w:val="0"/>
          <w:i w:val="0"/>
          <w:color w:val="000000"/>
          <w:sz w:val="21"/>
        </w:rPr>
        <w:t>Both mixes used nearly the same cementitious content and the same 4,000-psi requirement, yet 4K had five failures while 4KI had none and exceeded the requirement by more than 2,500 psi on average.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F4D78"/>
          <w:sz w:val="21"/>
        </w:rPr>
        <w:t xml:space="preserve">Action. </w:t>
      </w:r>
      <w:r>
        <w:rPr>
          <w:rFonts w:ascii="Calibri" w:hAnsi="Calibri"/>
          <w:b w:val="0"/>
          <w:i w:val="0"/>
          <w:color w:val="000000"/>
          <w:sz w:val="21"/>
        </w:rPr>
        <w:t>Investigate 4K for production/field issues; review 4KI as a trial-batch optimization candidate. Confirm air requirement, cement/SCM type, admixture dosage, durability requirements, and approved submittal before any change.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 xml:space="preserve">BEST CURRENT USE  </w:t>
            </w:r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Historical mix screening + transparent review flags + materials-engineer validation. Machine learning is supporting evidence, not the decision maker.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667085"/>
        <w:sz w:val="17"/>
      </w:rPr>
      <w:t>IMTS Mix Optimization | Historical Screening &amp; Engineer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IMTS CONCRETE MACHINE LEARNING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IMTS Mix Optimization Cross-Validated Results</dc:title>
  <dc:subject>One-page report section for the IMTS Concrete ML assessment</dc:subject>
  <dc:creator>IMTS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