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c6c6c6" w:val="clear"/>
        </w:rPr>
      </w:pPr>
      <w:r w:rsidDel="00000000" w:rsidR="00000000" w:rsidRPr="00000000">
        <w:rPr>
          <w:rtl w:val="0"/>
        </w:rPr>
        <w:t xml:space="preserve">Been working on the business case below since looking at this data last night, thoughts?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c6c6c6" w:val="clear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05288"/>
          <w:sz w:val="40"/>
          <w:szCs w:val="40"/>
          <w:shd w:fill="c6c6c6" w:val="clear"/>
        </w:rPr>
      </w:pPr>
      <w:r w:rsidDel="00000000" w:rsidR="00000000" w:rsidRPr="00000000">
        <w:rPr>
          <w:b w:val="1"/>
          <w:bCs w:val="1"/>
          <w:color w:val="005288"/>
          <w:sz w:val="40"/>
          <w:szCs w:val="40"/>
          <w:rtl w:val="0"/>
        </w:rPr>
        <w:t xml:space="preserve">Integrated Materials Testing System (IMTS) Concrete Data Commercialization Brief</w:t>
      </w:r>
      <w:r w:rsidDel="00000000" w:rsidR="00000000" w:rsidRPr="00000000">
        <w:rPr>
          <w:color w:val="005288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color w:val="1f2b37"/>
          <w:sz w:val="21"/>
          <w:szCs w:val="21"/>
          <w:shd w:fill="c6c6c6" w:val="clear"/>
        </w:rPr>
      </w:pPr>
      <w:r w:rsidDel="00000000" w:rsidR="00000000" w:rsidRPr="00000000">
        <w:rPr>
          <w:color w:val="1f2b37"/>
          <w:sz w:val="21"/>
          <w:szCs w:val="21"/>
          <w:rtl w:val="0"/>
        </w:rPr>
        <w:t xml:space="preserve">How WSP could monetize 15+ years of concrete sample QA/QC data through AI-enabled products</w:t>
      </w:r>
      <w:r w:rsidDel="00000000" w:rsidR="00000000" w:rsidRPr="00000000">
        <w:rPr>
          <w:color w:val="1f2b37"/>
          <w:sz w:val="21"/>
          <w:szCs w:val="21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2b37"/>
          <w:sz w:val="17"/>
          <w:szCs w:val="17"/>
        </w:rPr>
      </w:pPr>
      <w:r w:rsidDel="00000000" w:rsidR="00000000" w:rsidRPr="00000000">
        <w:rPr>
          <w:b w:val="1"/>
          <w:bCs w:val="1"/>
          <w:color w:val="005288"/>
          <w:sz w:val="24"/>
          <w:szCs w:val="24"/>
          <w:rtl w:val="0"/>
        </w:rPr>
        <w:t xml:space="preserve">Executive summary:</w:t>
      </w:r>
      <w:r w:rsidDel="00000000" w:rsidR="00000000" w:rsidRPr="00000000">
        <w:rPr>
          <w:color w:val="1f2b37"/>
          <w:sz w:val="17"/>
          <w:szCs w:val="17"/>
          <w:rtl w:val="0"/>
        </w:rPr>
        <w:t xml:space="preserve"> WSP appears to have a differentiated data asset: hundreds of thousands of historical concrete QA/QC records collected through in house materials testing system called “IMTS” that links mix attributes, field conditions, supplier/plant/truck context, placement information, and strength outcomes. The most attractive commercial path is a phased product suite: (1) Mix Optimization &amp; Carbon Reduction, (2) Predictive Quality Risk Analytics, and (3) Supplier Intelligence &amp; Benchmarking. The near-term value is software-enabled decision support; the long-term value is a defensible materials intelligence dataset. Principal gating issues are data rights, anonymization, professional liability, and conflict-of-interest management.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00" w:lineRule="auto"/>
        <w:rPr>
          <w:color w:val="005288"/>
          <w:sz w:val="24"/>
          <w:szCs w:val="24"/>
        </w:rPr>
      </w:pPr>
      <w:r w:rsidDel="00000000" w:rsidR="00000000" w:rsidRPr="00000000">
        <w:rPr>
          <w:b w:val="1"/>
          <w:bCs w:val="1"/>
          <w:color w:val="005288"/>
          <w:sz w:val="24"/>
          <w:szCs w:val="24"/>
          <w:rtl w:val="0"/>
        </w:rPr>
        <w:t xml:space="preserve">Strategic Recommendation</w:t>
      </w:r>
      <w:r w:rsidDel="00000000" w:rsidR="00000000" w:rsidRPr="00000000">
        <w:rPr>
          <w:color w:val="00528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Launch Mix Optimization first</w:t>
      </w:r>
      <w:r w:rsidDel="00000000" w:rsidR="00000000" w:rsidRPr="00000000">
        <w:rPr>
          <w:sz w:val="18"/>
          <w:szCs w:val="18"/>
          <w:rtl w:val="0"/>
        </w:rPr>
        <w:t xml:space="preserve"> (lowest risk, quickest ROI). 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Expand into Predictive Quality Analytics</w:t>
      </w:r>
      <w:r w:rsidDel="00000000" w:rsidR="00000000" w:rsidRPr="00000000">
        <w:rPr>
          <w:sz w:val="18"/>
          <w:szCs w:val="18"/>
          <w:rtl w:val="0"/>
        </w:rPr>
        <w:t xml:space="preserve"> (premium value proposition).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Build the Benchmarking Platform</w:t>
      </w:r>
      <w:r w:rsidDel="00000000" w:rsidR="00000000" w:rsidRPr="00000000">
        <w:rPr>
          <w:sz w:val="18"/>
          <w:szCs w:val="18"/>
          <w:rtl w:val="0"/>
        </w:rPr>
        <w:t xml:space="preserve"> once sufficient data governance and client permissions are established.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5.5066079295152"/>
        <w:gridCol w:w="3463.6123348017622"/>
        <w:gridCol w:w="4040.8810572687225"/>
        <w:tblGridChange w:id="0">
          <w:tblGrid>
            <w:gridCol w:w="1855.5066079295152"/>
            <w:gridCol w:w="3463.6123348017622"/>
            <w:gridCol w:w="4040.881057268722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Opportunity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Potential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Ease of Launch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Mix Optimization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High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High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Quality Risk Analytics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High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Medium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Supplier Benchmarking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Medium Initially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Medium </w:t>
            </w:r>
          </w:p>
        </w:tc>
      </w:tr>
    </w:tbl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00" w:lineRule="auto"/>
        <w:rPr>
          <w:color w:val="005288"/>
          <w:sz w:val="26"/>
          <w:szCs w:val="26"/>
          <w:shd w:fill="c6c6c6" w:val="clear"/>
        </w:rPr>
      </w:pPr>
      <w:r w:rsidDel="00000000" w:rsidR="00000000" w:rsidRPr="00000000">
        <w:rPr>
          <w:b w:val="1"/>
          <w:bCs w:val="1"/>
          <w:color w:val="005288"/>
          <w:sz w:val="26"/>
          <w:szCs w:val="26"/>
          <w:rtl w:val="0"/>
        </w:rPr>
        <w:t xml:space="preserve">Dataset opportunity</w:t>
      </w:r>
      <w:r w:rsidDel="00000000" w:rsidR="00000000" w:rsidRPr="00000000">
        <w:rPr>
          <w:color w:val="005288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420" w:hanging="160"/>
        <w:rPr>
          <w:sz w:val="24"/>
          <w:szCs w:val="24"/>
          <w:shd w:fill="c6c6c6" w:val="clear"/>
        </w:rPr>
      </w:pPr>
      <w:r w:rsidDel="00000000" w:rsidR="00000000" w:rsidRPr="00000000">
        <w:rPr>
          <w:color w:val="2578b2"/>
          <w:sz w:val="24"/>
          <w:szCs w:val="24"/>
          <w:rtl w:val="0"/>
        </w:rPr>
        <w:t xml:space="preserve">• IMTS </w:t>
      </w:r>
      <w:r w:rsidDel="00000000" w:rsidR="00000000" w:rsidRPr="00000000">
        <w:rPr>
          <w:sz w:val="24"/>
          <w:szCs w:val="24"/>
          <w:rtl w:val="0"/>
        </w:rPr>
        <w:t xml:space="preserve">Raw data fields include mix properties, fresh concrete measurements, environmental factors, supplier/plant/truck data, placement context, curing/testing metadata, and compressive strength results. (</w:t>
      </w:r>
      <w:hyperlink r:id="rId6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Sample Data here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420" w:hanging="160"/>
        <w:rPr>
          <w:sz w:val="24"/>
          <w:szCs w:val="24"/>
          <w:shd w:fill="c6c6c6" w:val="clear"/>
        </w:rPr>
      </w:pPr>
      <w:r w:rsidDel="00000000" w:rsidR="00000000" w:rsidRPr="00000000">
        <w:rPr>
          <w:color w:val="2578b2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Commercial value comes from linking inputs and context to outcomes: what was batched, when/where/how it was placed, and how it ultimately performed.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420" w:hanging="160"/>
        <w:rPr>
          <w:sz w:val="24"/>
          <w:szCs w:val="24"/>
          <w:shd w:fill="c6c6c6" w:val="clear"/>
        </w:rPr>
      </w:pPr>
      <w:r w:rsidDel="00000000" w:rsidR="00000000" w:rsidRPr="00000000">
        <w:rPr>
          <w:color w:val="2578b2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This is the type of historical relationship that can support predictive products, not just traditional testing services.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00" w:lineRule="auto"/>
        <w:rPr>
          <w:color w:val="005288"/>
          <w:sz w:val="26"/>
          <w:szCs w:val="26"/>
          <w:shd w:fill="c6c6c6" w:val="clear"/>
        </w:rPr>
      </w:pPr>
      <w:r w:rsidDel="00000000" w:rsidR="00000000" w:rsidRPr="00000000">
        <w:rPr>
          <w:b w:val="1"/>
          <w:bCs w:val="1"/>
          <w:color w:val="005288"/>
          <w:sz w:val="26"/>
          <w:szCs w:val="26"/>
          <w:rtl w:val="0"/>
        </w:rPr>
        <w:t xml:space="preserve">Rough North American Total Addressable Market (TAM) context</w:t>
      </w:r>
      <w:r w:rsidDel="00000000" w:rsidR="00000000" w:rsidRPr="00000000">
        <w:rPr>
          <w:color w:val="005288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2b37"/>
          <w:sz w:val="17"/>
          <w:szCs w:val="17"/>
        </w:rPr>
      </w:pPr>
      <w:r w:rsidDel="00000000" w:rsidR="00000000" w:rsidRPr="00000000">
        <w:rPr>
          <w:color w:val="1f2b37"/>
          <w:sz w:val="17"/>
          <w:szCs w:val="17"/>
          <w:rtl w:val="0"/>
        </w:rPr>
        <w:t xml:space="preserve">Rough TAM view: The North American ready-mix concrete market is reported by market research sources in the ~$70B–$100B annual range, with several forecasts projecting continued growth through the early 2030s. The directly monetizable AI/software opportunity is only a small slice of that market; a planning-level assumption of 0.1%–0.5% of ready-mix spend plus adjacent quality/testing analytics suggests a rough North American AI/data product opportunity of ~$75M–$500M annually. This range is directional only and should be validated through client discovery, pricing tests, and legal/data-rights review.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00" w:lineRule="auto"/>
        <w:rPr>
          <w:color w:val="005288"/>
          <w:sz w:val="26"/>
          <w:szCs w:val="26"/>
          <w:shd w:fill="c6c6c6" w:val="clear"/>
        </w:rPr>
      </w:pPr>
      <w:r w:rsidDel="00000000" w:rsidR="00000000" w:rsidRPr="00000000">
        <w:rPr>
          <w:b w:val="1"/>
          <w:bCs w:val="1"/>
          <w:color w:val="005288"/>
          <w:sz w:val="26"/>
          <w:szCs w:val="26"/>
          <w:rtl w:val="0"/>
        </w:rPr>
        <w:t xml:space="preserve">Top three product concepts</w:t>
      </w:r>
      <w:r w:rsidDel="00000000" w:rsidR="00000000" w:rsidRPr="00000000">
        <w:rPr>
          <w:color w:val="005288"/>
          <w:sz w:val="26"/>
          <w:szCs w:val="26"/>
          <w:shd w:fill="c6c6c6" w:val="clear"/>
          <w:rtl w:val="0"/>
        </w:rPr>
        <w:t xml:space="preserve"> 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8.503311258278"/>
        <w:gridCol w:w="2392.688741721854"/>
        <w:gridCol w:w="1735.6291390728475"/>
        <w:gridCol w:w="2454.6754966887415"/>
        <w:gridCol w:w="1388.503311258278"/>
        <w:tblGridChange w:id="0">
          <w:tblGrid>
            <w:gridCol w:w="1388.503311258278"/>
            <w:gridCol w:w="2392.688741721854"/>
            <w:gridCol w:w="1735.6291390728475"/>
            <w:gridCol w:w="2454.6754966887415"/>
            <w:gridCol w:w="1388.503311258278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Product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Essential pitch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Market / buyer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 &amp; revenue logic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Build / maintain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f2b37"/>
                <w:sz w:val="15"/>
                <w:szCs w:val="15"/>
                <w:rtl w:val="0"/>
              </w:rPr>
              <w:t xml:space="preserve">1. Mix Optimization &amp; Carbon Reduction</w:t>
            </w: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AI-assisted decision support to help optimize mix designs for strength, cost, and embodied carbon.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Ready-mix producers, DOTs, utilities, contractors, infrastructure owners.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Reduce cement usage, improve margins, accelerate approvals, and support low-carbon concrete goals. Likely SaaS + advisory revenue.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Build: $0.5M–$1.5M </w:t>
              <w:br w:type="textWrapping"/>
              <w:t xml:space="preserve">Maintain: $0.15M–$0.30M/yr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f2b37"/>
                <w:sz w:val="15"/>
                <w:szCs w:val="15"/>
                <w:rtl w:val="0"/>
              </w:rPr>
              <w:t xml:space="preserve">2. Predictive Quality Risk Analytics</w:t>
            </w: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Pour-level risk score that flags likely quality issues before cylinder breaks confirm failures.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Owners, contractors, EPCs, PM/CM teams, insurers, QA/QC programs.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Reduce rework, claims, schedule disruption, and remediation costs. Premium project subscription or enterprise module.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Build: $0.75M–$2.0M </w:t>
              <w:br w:type="textWrapping"/>
              <w:t xml:space="preserve">Maintain: $0.20M–$0.40M/yr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f2b37"/>
                <w:sz w:val="15"/>
                <w:szCs w:val="15"/>
                <w:rtl w:val="0"/>
              </w:rPr>
              <w:t xml:space="preserve">3. Supplier Intelligence &amp; Benchmarking</w:t>
            </w: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Independent benchmarking of supplier, plant, mix, and regional performance trends.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DOTs, airports, utilities, contractors, suppliers, major owners.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Better procurement decisions, supplier transparency, and recurring market intelligence subscriptions.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580" w:firstLine="0"/>
              <w:rPr>
                <w:color w:val="1f2b37"/>
                <w:sz w:val="15"/>
                <w:szCs w:val="15"/>
              </w:rPr>
            </w:pPr>
            <w:r w:rsidDel="00000000" w:rsidR="00000000" w:rsidRPr="00000000">
              <w:rPr>
                <w:color w:val="1f2b37"/>
                <w:sz w:val="15"/>
                <w:szCs w:val="15"/>
                <w:rtl w:val="0"/>
              </w:rPr>
              <w:t xml:space="preserve">Build: $1.0M–$3.0M </w:t>
              <w:br w:type="textWrapping"/>
              <w:t xml:space="preserve">Maintain: $0.25M–$0.50M/yr </w:t>
            </w:r>
          </w:p>
        </w:tc>
      </w:tr>
    </w:tbl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00" w:lineRule="auto"/>
        <w:rPr>
          <w:color w:val="005288"/>
          <w:sz w:val="26"/>
          <w:szCs w:val="26"/>
          <w:shd w:fill="c6c6c6" w:val="clear"/>
        </w:rPr>
      </w:pPr>
      <w:r w:rsidDel="00000000" w:rsidR="00000000" w:rsidRPr="00000000">
        <w:rPr>
          <w:b w:val="1"/>
          <w:bCs w:val="1"/>
          <w:color w:val="005288"/>
          <w:sz w:val="26"/>
          <w:szCs w:val="26"/>
          <w:rtl w:val="0"/>
        </w:rPr>
        <w:t xml:space="preserve">Risks, conflicts, and gating decisions</w:t>
      </w:r>
      <w:r w:rsidDel="00000000" w:rsidR="00000000" w:rsidRPr="00000000">
        <w:rPr>
          <w:color w:val="005288"/>
          <w:sz w:val="26"/>
          <w:szCs w:val="26"/>
          <w:shd w:fill="c6c6c6" w:val="clear"/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1.9326500732066"/>
        <w:gridCol w:w="3631.6251830161054"/>
        <w:gridCol w:w="3686.4421669106882"/>
        <w:tblGridChange w:id="0">
          <w:tblGrid>
            <w:gridCol w:w="2041.9326500732066"/>
            <w:gridCol w:w="3631.6251830161054"/>
            <w:gridCol w:w="3686.442166910688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Risk area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Why it matters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Recommended control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 ownership &amp; consent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Historical project data may belong to clients or be contractually restricted.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Legal review; client permission model; anonymization and aggregation standards.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Confidentiality &amp; procurement sensitivity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Supplier/plant comparisons could expose commercially sensitive information.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Publish only aggregated benchmarks unless explicit permission is granted.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Professional liability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Users may interpret predictions as engineering acceptance or rejection decisions.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Position as decision-support; retain existing standards-based testing as source of record.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Conflict of interest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WSP may be both independent tester/advisor and vendor of optimization/risk tools.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Governance model separating testing conclusions from software recommendations.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Model validity &amp; bias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 may be uneven by region, supplier, mix type, or project class.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Phased model validation, model cards, QA protocols, holdout testing, and confidence scoring. </w:t>
            </w:r>
          </w:p>
        </w:tc>
      </w:tr>
    </w:tbl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00" w:lineRule="auto"/>
        <w:rPr>
          <w:color w:val="005288"/>
          <w:sz w:val="26"/>
          <w:szCs w:val="26"/>
          <w:shd w:fill="c6c6c6" w:val="clear"/>
        </w:rPr>
      </w:pPr>
      <w:r w:rsidDel="00000000" w:rsidR="00000000" w:rsidRPr="00000000">
        <w:rPr>
          <w:b w:val="1"/>
          <w:bCs w:val="1"/>
          <w:color w:val="005288"/>
          <w:sz w:val="26"/>
          <w:szCs w:val="26"/>
          <w:rtl w:val="0"/>
        </w:rPr>
        <w:t xml:space="preserve">Suggested technical team workplan</w:t>
      </w:r>
      <w:r w:rsidDel="00000000" w:rsidR="00000000" w:rsidRPr="00000000">
        <w:rPr>
          <w:color w:val="005288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420" w:hanging="160"/>
        <w:rPr>
          <w:sz w:val="24"/>
          <w:szCs w:val="24"/>
          <w:shd w:fill="c6c6c6" w:val="clear"/>
        </w:rPr>
      </w:pPr>
      <w:r w:rsidDel="00000000" w:rsidR="00000000" w:rsidRPr="00000000">
        <w:rPr>
          <w:color w:val="2578b2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Data audit: confirm record counts, null rates, duplicate keys, schema structure, linkage between mix/test/break records, and data lineage.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420" w:hanging="160"/>
        <w:rPr>
          <w:sz w:val="24"/>
          <w:szCs w:val="24"/>
          <w:shd w:fill="c6c6c6" w:val="clear"/>
        </w:rPr>
      </w:pPr>
      <w:r w:rsidDel="00000000" w:rsidR="00000000" w:rsidRPr="00000000">
        <w:rPr>
          <w:color w:val="2578b2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Rights review: classify records by client/project/contract source and identify what can be used for internal model training vs external commercialization.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420" w:hanging="160"/>
        <w:rPr>
          <w:sz w:val="24"/>
          <w:szCs w:val="24"/>
          <w:shd w:fill="c6c6c6" w:val="clear"/>
        </w:rPr>
      </w:pPr>
      <w:r w:rsidDel="00000000" w:rsidR="00000000" w:rsidRPr="00000000">
        <w:rPr>
          <w:color w:val="2578b2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Model feasibility: create three prototype targets: 28-day strength prediction, failure probability, and supplier variability index.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420" w:hanging="160"/>
        <w:rPr>
          <w:sz w:val="24"/>
          <w:szCs w:val="24"/>
          <w:shd w:fill="c6c6c6" w:val="clear"/>
        </w:rPr>
      </w:pPr>
      <w:r w:rsidDel="00000000" w:rsidR="00000000" w:rsidRPr="00000000">
        <w:rPr>
          <w:color w:val="2578b2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Governance design: define human-in-the-loop review, limitations language, audit trails, and when predictions can or cannot be used.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420" w:hanging="160"/>
        <w:rPr>
          <w:sz w:val="24"/>
          <w:szCs w:val="24"/>
          <w:shd w:fill="c6c6c6" w:val="clear"/>
        </w:rPr>
      </w:pPr>
      <w:r w:rsidDel="00000000" w:rsidR="00000000" w:rsidRPr="00000000">
        <w:rPr>
          <w:color w:val="2578b2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Commercial pilot: select one internal region or client-safe data subset for proof-of-value before external productization.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00" w:lineRule="auto"/>
        <w:rPr>
          <w:color w:val="005288"/>
          <w:sz w:val="26"/>
          <w:szCs w:val="26"/>
          <w:shd w:fill="c6c6c6" w:val="clear"/>
        </w:rPr>
      </w:pPr>
      <w:r w:rsidDel="00000000" w:rsidR="00000000" w:rsidRPr="00000000">
        <w:rPr>
          <w:b w:val="1"/>
          <w:bCs w:val="1"/>
          <w:color w:val="005288"/>
          <w:sz w:val="26"/>
          <w:szCs w:val="26"/>
          <w:rtl w:val="0"/>
        </w:rPr>
        <w:t xml:space="preserve">Sources and sizing notes</w:t>
      </w:r>
      <w:r w:rsidDel="00000000" w:rsidR="00000000" w:rsidRPr="00000000">
        <w:rPr>
          <w:color w:val="005288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Market sizing in this brief is a rough TAM estimate for planning only. It combines cited market-size references with WSP-generated assumptions about achievable software/data monetization share. The cited sources support the base market context; the AI product TAM range is an assumption requiring validation.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.0269179004035"/>
        <w:gridCol w:w="3754.0780619111706"/>
        <w:gridCol w:w="3665.895020188425"/>
        <w:tblGridChange w:id="0">
          <w:tblGrid>
            <w:gridCol w:w="1940.0269179004035"/>
            <w:gridCol w:w="3754.0780619111706"/>
            <w:gridCol w:w="3665.89502018842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Specific data point used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b5c8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Link / note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Mordor Intelligence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North America ready-mix concrete market: $72.63B in 2025; $76.47B in 2026; projected $98.99B by 2031.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467886"/>
                  <w:sz w:val="24"/>
                  <w:szCs w:val="24"/>
                  <w:u w:val="single"/>
                  <w:rtl w:val="0"/>
                </w:rPr>
                <w:t xml:space="preserve">https://www.mordorintelligence.com/industry-reports/north-america-ready-mix-concrete-market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Verified Market Research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North America ready-mix concrete market: $70B in 2024; projected $103.42B by 2032.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467886"/>
                  <w:sz w:val="24"/>
                  <w:szCs w:val="24"/>
                  <w:u w:val="single"/>
                  <w:rtl w:val="0"/>
                </w:rPr>
                <w:t xml:space="preserve">https://www.verifiedmarketresearch.com/product/north-america-ready-mix-concrete-market/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Grand View Research Horizon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North America ready-mix concrete market: $68.47B in 2025; projected $115.82B by 2033.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467886"/>
                  <w:sz w:val="24"/>
                  <w:szCs w:val="24"/>
                  <w:u w:val="single"/>
                  <w:rtl w:val="0"/>
                </w:rPr>
                <w:t xml:space="preserve">https://www.grandviewresearch.com/horizon/outlook/ready-mix-concrete-market/north-america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Grand View Research Horizon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North America construction material testing equipment market: $771.7M in 2025; projected $1.207B by 2033.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467886"/>
                  <w:sz w:val="24"/>
                  <w:szCs w:val="24"/>
                  <w:u w:val="single"/>
                  <w:rtl w:val="0"/>
                </w:rPr>
                <w:t xml:space="preserve">https://www.grandviewresearch.com/horizon/outlook/construction-material-testing-equipment-market/north-america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 Insights Market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Global construction materials testing market cited as $2.01B in 2025; projected ~$2.95B by 2034.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color w:val="467886"/>
                  <w:sz w:val="24"/>
                  <w:szCs w:val="24"/>
                  <w:u w:val="single"/>
                  <w:rtl w:val="0"/>
                </w:rPr>
                <w:t xml:space="preserve">https://www.datainsightsmarket.com/reports/construction-materials-testing-cmt-1432548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WSP dataset reviewed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Atlanta-Concrete-Raw.xlsx contained fields for mix, field measurements, supplier/plant/truck details, curing/testing metadata, and strength outcomes.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40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Internal file provided in this Copilot conversation. </w:t>
            </w:r>
          </w:p>
        </w:tc>
      </w:tr>
    </w:tbl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2b37"/>
          <w:sz w:val="17"/>
          <w:szCs w:val="17"/>
        </w:rPr>
      </w:pPr>
      <w:r w:rsidDel="00000000" w:rsidR="00000000" w:rsidRPr="00000000">
        <w:rPr>
          <w:color w:val="1f2b37"/>
          <w:sz w:val="17"/>
          <w:szCs w:val="17"/>
          <w:rtl w:val="0"/>
        </w:rPr>
        <w:t xml:space="preserve">Recommended decision: proceed only after Legal/Commercial confirms data rights and acceptable conflict-of-interest controls. If cleared, start with Mix Optimization as the lowest-risk product, then expand into risk analytics and benchmarking once governance and validation are mature.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8"/>
          <w:szCs w:val="18"/>
          <w:shd w:fill="c6c6c6" w:val="clear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cas-proxyweb.mcas.ms/certificate-checker?login=false&amp;originalUrl=https%3A%2F%2Feur02.safelinks.protection.outlook.com.mcas.ms%2F%3Furl%3Dhttps%253A%252F%252Fwww.datainsightsmarket.com%252Freports%252Fconstruction-materials-testing-cmt-1432548%26data%3D05%257C02%257Cdeana.franks%2540wsp.com%257Ce8359da9743f4b15085008dee8ffc04d%257C3d234255e20f420588a59658a402999b%257C1%257C0%257C639204382344860946%257CUnknown%257CTWFpbGZsb3d8eyJFbXB0eU1hcGkiOnRydWUsIlYiOiIwLjAuMDAwMCIsIlAiOiJXaW4zMiIsIkFOIjoiTWFpbCIsIldUIjoyfQ%253D%253D%257C0%257C%257C%257C%26sdata%3DP7aiegYpUsQqYci%252FgDVfaP2%252BZtJw05MkzhkAEMymMg8%253D%26reserved%3D0%26McasTsid%3D15600&amp;McasCSRF=05672f171321186993419d1dcd0c98fb34dd2b01e691265624a2dfeb0ee7bd07" TargetMode="External"/><Relationship Id="rId10" Type="http://schemas.openxmlformats.org/officeDocument/2006/relationships/hyperlink" Target="https://mcas-proxyweb.mcas.ms/certificate-checker?login=false&amp;originalUrl=https%3A%2F%2Feur02.safelinks.protection.outlook.com.mcas.ms%2F%3Furl%3Dhttps%253A%252F%252Fwww.grandviewresearch.com%252Fhorizon%252Foutlook%252Fconstruction-material-testing-equipment-market%252Fnorth-america%26data%3D05%257C02%257Cdeana.franks%2540wsp.com%257Ce8359da9743f4b15085008dee8ffc04d%257C3d234255e20f420588a59658a402999b%257C1%257C0%257C639204382344852128%257CUnknown%257CTWFpbGZsb3d8eyJFbXB0eU1hcGkiOnRydWUsIlYiOiIwLjAuMDAwMCIsIlAiOiJXaW4zMiIsIkFOIjoiTWFpbCIsIldUIjoyfQ%253D%253D%257C0%257C%257C%257C%26sdata%3DQT5%252B%252FIGIM0vrJhnmKobynAW%252BRX0pm5pbV2C%252Bxbuxo%252Fs%253D%26reserved%3D0%26McasTsid%3D15600&amp;McasCSRF=05672f171321186993419d1dcd0c98fb34dd2b01e691265624a2dfeb0ee7bd07" TargetMode="External"/><Relationship Id="rId9" Type="http://schemas.openxmlformats.org/officeDocument/2006/relationships/hyperlink" Target="https://mcas-proxyweb.mcas.ms/certificate-checker?login=false&amp;originalUrl=https%3A%2F%2Feur02.safelinks.protection.outlook.com.mcas.ms%2F%3Furl%3Dhttps%253A%252F%252Fwww.grandviewresearch.com%252Fhorizon%252Foutlook%252Fready-mix-concrete-market%252Fnorth-america%26data%3D05%257C02%257Cdeana.franks%2540wsp.com%257Ce8359da9743f4b15085008dee8ffc04d%257C3d234255e20f420588a59658a402999b%257C1%257C0%257C639204382344843407%257CUnknown%257CTWFpbGZsb3d8eyJFbXB0eU1hcGkiOnRydWUsIlYiOiIwLjAuMDAwMCIsIlAiOiJXaW4zMiIsIkFOIjoiTWFpbCIsIldUIjoyfQ%253D%253D%257C0%257C%257C%257C%26sdata%3DwuJI%252FJY7yoi3sZ8mXXdzrHw%252FrrYM4vzYbR3wr1MnvJc%253D%26reserved%3D0%26McasTsid%3D15600&amp;McasCSRF=05672f171321186993419d1dcd0c98fb34dd2b01e691265624a2dfeb0ee7bd07" TargetMode="External"/><Relationship Id="rId5" Type="http://schemas.openxmlformats.org/officeDocument/2006/relationships/styles" Target="styles.xml"/><Relationship Id="rId6" Type="http://schemas.openxmlformats.org/officeDocument/2006/relationships/hyperlink" Target="https://mcas-proxyweb.mcas.ms/certificate-checker?login=false&amp;originalUrl=https%3A%2F%2Fwsponlinenam-my.sharepoint.com.mcas.ms%2F%3Af%3A%2Fg%2Fpersonal%2Fjeff_albee_wsp_com%2FIgACuOKcOyWmTp2VnpcCoQvnAcC4mGp8piB0qOc_fDSKnXw%3Fe%3DNYWfHr%26xsdata%3DMDV8MDJ8ZGVhbmEuZnJhbmtzQHdzcC5jb218ZTgzNTlkYTk3NDNmNGIxNTA4NTAwOGRlZThmZmMwNGR8M2QyMzQyNTVlMjBmNDIwNTg4YTU5NjU4YTQwMjk5OWJ8MXwwfDYzOTIwNDM4MjM0NDgxODk2NXxVbmtub3dufFRXRnBiR1pzYjNkOGV5SkZiWEIwZVUxaGNHa2lPblJ5ZFdVc0lsWWlPaUl3TGpBdU1EQXdNQ0lzSWxBaU9pSlhhVzR6TWlJc0lrRk9Jam9pVFdGcGJDSXNJbGRVSWpveWZRPT18MHx8fA%253d%253d%26sdata%3DTkFncXZzblRObHJXQmM3NnJXQS9XQ0FaeDh2Tm0wZ3psdXdpTCt3YmVkOD0%253d%26McasTsid%3D15600&amp;McasCSRF=05672f171321186993419d1dcd0c98fb34dd2b01e691265624a2dfeb0ee7bd07" TargetMode="External"/><Relationship Id="rId7" Type="http://schemas.openxmlformats.org/officeDocument/2006/relationships/hyperlink" Target="https://mcas-proxyweb.mcas.ms/certificate-checker?login=false&amp;originalUrl=https%3A%2F%2Feur02.safelinks.protection.outlook.com.mcas.ms%2F%3Furl%3Dhttps%253A%252F%252Fwww.mordorintelligence.com%252Findustry-reports%252Fnorth-america-ready-mix-concrete-market%26data%3D05%257C02%257Cdeana.franks%2540wsp.com%257Ce8359da9743f4b15085008dee8ffc04d%257C3d234255e20f420588a59658a402999b%257C1%257C0%257C639204382344825387%257CUnknown%257CTWFpbGZsb3d8eyJFbXB0eU1hcGkiOnRydWUsIlYiOiIwLjAuMDAwMCIsIlAiOiJXaW4zMiIsIkFOIjoiTWFpbCIsIldUIjoyfQ%253D%253D%257C0%257C%257C%257C%26sdata%3DccLJ8bv78H%252FHvQ2yoliSiolwHDw7kNLctAcGAIxOCTU%253D%26reserved%3D0%26McasTsid%3D15600&amp;McasCSRF=05672f171321186993419d1dcd0c98fb34dd2b01e691265624a2dfeb0ee7bd07" TargetMode="External"/><Relationship Id="rId8" Type="http://schemas.openxmlformats.org/officeDocument/2006/relationships/hyperlink" Target="https://mcas-proxyweb.mcas.ms/certificate-checker?login=false&amp;originalUrl=https%3A%2F%2Feur02.safelinks.protection.outlook.com.mcas.ms%2F%3Furl%3Dhttps%253A%252F%252Fwww.verifiedmarketresearch.com%252Fproduct%252Fnorth-america-ready-mix-concrete-market%252F%26data%3D05%257C02%257Cdeana.franks%2540wsp.com%257Ce8359da9743f4b15085008dee8ffc04d%257C3d234255e20f420588a59658a402999b%257C1%257C0%257C639204382344834637%257CUnknown%257CTWFpbGZsb3d8eyJFbXB0eU1hcGkiOnRydWUsIlYiOiIwLjAuMDAwMCIsIlAiOiJXaW4zMiIsIkFOIjoiTWFpbCIsIldUIjoyfQ%253D%253D%257C0%257C%257C%257C%26sdata%3DcfSECd8SxjYPMlcjLGQtfAaudZ3z9lVj91zXNL8eYVc%253D%26reserved%3D0%26McasTsid%3D15600&amp;McasCSRF=05672f171321186993419d1dcd0c98fb34dd2b01e691265624a2dfeb0ee7bd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