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2"/>
        </w:rPr>
        <w:t>IMTS PROJECT QUALITY INTELLIGENCE</w:t>
      </w:r>
    </w:p>
    <w:p>
      <w:pPr>
        <w:spacing w:after="120"/>
        <w:jc w:val="center"/>
      </w:pPr>
      <w:r>
        <w:rPr>
          <w:b/>
          <w:color w:val="44546A"/>
          <w:sz w:val="24"/>
        </w:rPr>
        <w:t>Simple Business Opportunity Pitch</w:t>
      </w:r>
    </w:p>
    <w:tbl>
      <w:tblPr>
        <w:tblW w:type="auto" w:w="0"/>
        <w:jc w:val="center"/>
        <w:tblLook w:firstColumn="1" w:firstRow="1" w:lastColumn="0" w:lastRow="0" w:noHBand="0" w:noVBand="1" w:val="04A0"/>
      </w:tblPr>
      <w:tblGrid>
        <w:gridCol w:w="10454"/>
      </w:tblGrid>
      <w:tr>
        <w:tc>
          <w:tcPr>
            <w:tcW w:type="dxa" w:w="10454"/>
            <w:shd w:fill="EAF2F8"/>
            <w:tcMar>
              <w:top w:w="100" w:type="dxa"/>
              <w:start w:w="120" w:type="dxa"/>
              <w:bottom w:w="100" w:type="dxa"/>
              <w:end w:w="120" w:type="dxa"/>
            </w:tcMar>
          </w:tcPr>
          <w:p>
            <w:pPr>
              <w:spacing w:after="40"/>
            </w:pPr>
            <w:r>
              <w:rPr>
                <w:b/>
                <w:color w:val="17365D"/>
              </w:rPr>
              <w:t>Main idea</w:t>
            </w:r>
          </w:p>
          <w:p>
            <w:pPr>
              <w:spacing w:after="0"/>
            </w:pPr>
            <w:r>
              <w:t>I do not know yet whether this would create direct standalone revenue, but I think it could help WSP differentiate its materials-testing services, provide more value to existing clients, and potentially help win more work.</w:t>
            </w:r>
          </w:p>
        </w:tc>
      </w:tr>
    </w:tbl>
    <w:p>
      <w:pPr>
        <w:pStyle w:val="Heading1"/>
      </w:pPr>
      <w:r>
        <w:t>What the Opportunity Is</w:t>
      </w:r>
    </w:p>
    <w:p>
      <w:r>
        <w:rPr>
          <w:b/>
        </w:rPr>
        <w:t xml:space="preserve">WSP already has years of historical materials-testing data in IMTS. </w:t>
      </w:r>
      <w:r>
        <w:t>Today, clients mainly receive individual approved test reports. We could use the same historical data to provide additional project-level context, trends, and comparisons around current results.</w:t>
      </w:r>
    </w:p>
    <w:p>
      <w:r>
        <w:rPr>
          <w:b/>
        </w:rPr>
        <w:t xml:space="preserve">The value is not simply another dashboard. </w:t>
      </w:r>
      <w:r>
        <w:t>The value is helping engineers and clients answer questions that are difficult to answer from individual reports alone.</w:t>
      </w:r>
    </w:p>
    <w:p>
      <w:pPr>
        <w:pStyle w:val="Heading1"/>
      </w:pPr>
      <w:r>
        <w:t>Examples of Questions We Could Help Answer</w:t>
      </w:r>
    </w:p>
    <w:tbl>
      <w:tblPr>
        <w:tblStyle w:val="TableGrid"/>
        <w:tblW w:type="auto" w:w="0"/>
        <w:jc w:val="center"/>
        <w:tblLook w:firstColumn="1" w:firstRow="1" w:lastColumn="0" w:lastRow="0" w:noHBand="0" w:noVBand="1" w:val="04A0"/>
      </w:tblPr>
      <w:tblGrid>
        <w:gridCol w:w="5227"/>
        <w:gridCol w:w="5227"/>
      </w:tblGrid>
      <w:tr>
        <w:tc>
          <w:tcPr>
            <w:tcW w:type="dxa" w:w="5227"/>
            <w:shd w:fill="2F5597"/>
            <w:tcMar>
              <w:top w:w="80" w:type="dxa"/>
              <w:start w:w="100" w:type="dxa"/>
              <w:bottom w:w="80" w:type="dxa"/>
              <w:end w:w="100" w:type="dxa"/>
            </w:tcMar>
          </w:tcPr>
          <w:p>
            <w:r>
              <w:rPr>
                <w:b/>
                <w:color w:val="FFFFFF"/>
              </w:rPr>
              <w:t>Question</w:t>
            </w:r>
          </w:p>
        </w:tc>
        <w:tc>
          <w:tcPr>
            <w:tcW w:type="dxa" w:w="5227"/>
            <w:shd w:fill="2F5597"/>
            <w:tcMar>
              <w:top w:w="80" w:type="dxa"/>
              <w:start w:w="100" w:type="dxa"/>
              <w:bottom w:w="80" w:type="dxa"/>
              <w:end w:w="100" w:type="dxa"/>
            </w:tcMar>
          </w:tcPr>
          <w:p>
            <w:r>
              <w:rPr>
                <w:b/>
                <w:color w:val="FFFFFF"/>
              </w:rPr>
              <w:t>Example Historical Response</w:t>
            </w:r>
          </w:p>
        </w:tc>
      </w:tr>
      <w:tr>
        <w:tc>
          <w:tcPr>
            <w:tcW w:type="dxa" w:w="5227"/>
            <w:tcMar>
              <w:top w:w="80" w:type="dxa"/>
              <w:start w:w="95" w:type="dxa"/>
              <w:bottom w:w="80" w:type="dxa"/>
              <w:end w:w="95" w:type="dxa"/>
            </w:tcMar>
          </w:tcPr>
          <w:p>
            <w:r>
              <w:t>What happened historically under conditions similar to this placement?</w:t>
            </w:r>
          </w:p>
        </w:tc>
        <w:tc>
          <w:tcPr>
            <w:tcW w:type="dxa" w:w="5227"/>
            <w:tcMar>
              <w:top w:w="80" w:type="dxa"/>
              <w:start w:w="95" w:type="dxa"/>
              <w:bottom w:w="80" w:type="dxa"/>
              <w:end w:w="95" w:type="dxa"/>
            </w:tcMar>
          </w:tcPr>
          <w:p>
            <w:r>
              <w:t>1,284 similar tests were found; 96.3% met the 28-day strength requirement.</w:t>
            </w:r>
          </w:p>
        </w:tc>
      </w:tr>
      <w:tr>
        <w:tc>
          <w:tcPr>
            <w:tcW w:type="dxa" w:w="5227"/>
            <w:tcMar>
              <w:top w:w="80" w:type="dxa"/>
              <w:start w:w="95" w:type="dxa"/>
              <w:bottom w:w="80" w:type="dxa"/>
              <w:end w:w="95" w:type="dxa"/>
            </w:tcMar>
          </w:tcPr>
          <w:p>
            <w:r>
              <w:t>Our 7-day strength looks low. What happened in similar cases at 28 days?</w:t>
            </w:r>
          </w:p>
        </w:tc>
        <w:tc>
          <w:tcPr>
            <w:tcW w:type="dxa" w:w="5227"/>
            <w:tcMar>
              <w:top w:w="80" w:type="dxa"/>
              <w:start w:w="95" w:type="dxa"/>
              <w:bottom w:w="80" w:type="dxa"/>
              <w:end w:w="95" w:type="dxa"/>
            </w:tcMar>
          </w:tcPr>
          <w:p>
            <w:r>
              <w:t>843 comparable cases were found; 791 reached the required 28-day strength and 52 did not.</w:t>
            </w:r>
          </w:p>
        </w:tc>
      </w:tr>
      <w:tr>
        <w:tc>
          <w:tcPr>
            <w:tcW w:type="dxa" w:w="5227"/>
            <w:tcMar>
              <w:top w:w="80" w:type="dxa"/>
              <w:start w:w="95" w:type="dxa"/>
              <w:bottom w:w="80" w:type="dxa"/>
              <w:end w:w="95" w:type="dxa"/>
            </w:tcMar>
          </w:tcPr>
          <w:p>
            <w:r>
              <w:t>How has this supplier performed under comparable conditions?</w:t>
            </w:r>
          </w:p>
        </w:tc>
        <w:tc>
          <w:tcPr>
            <w:tcW w:type="dxa" w:w="5227"/>
            <w:tcMar>
              <w:top w:w="80" w:type="dxa"/>
              <w:start w:w="95" w:type="dxa"/>
              <w:bottom w:w="80" w:type="dxa"/>
              <w:end w:w="95" w:type="dxa"/>
            </w:tcMar>
          </w:tcPr>
          <w:p>
            <w:r>
              <w:t>Compare supplier results after filtering for similar required strength, placement type, slump, air, and temperature.</w:t>
            </w:r>
          </w:p>
        </w:tc>
      </w:tr>
      <w:tr>
        <w:tc>
          <w:tcPr>
            <w:tcW w:type="dxa" w:w="5227"/>
            <w:tcMar>
              <w:top w:w="80" w:type="dxa"/>
              <w:start w:w="95" w:type="dxa"/>
              <w:bottom w:w="80" w:type="dxa"/>
              <w:end w:w="95" w:type="dxa"/>
            </w:tcMar>
          </w:tcPr>
          <w:p>
            <w:r>
              <w:t>Is this failure unusual?</w:t>
            </w:r>
          </w:p>
        </w:tc>
        <w:tc>
          <w:tcPr>
            <w:tcW w:type="dxa" w:w="5227"/>
            <w:tcMar>
              <w:top w:w="80" w:type="dxa"/>
              <w:start w:w="95" w:type="dxa"/>
              <w:bottom w:w="80" w:type="dxa"/>
              <w:end w:w="95" w:type="dxa"/>
            </w:tcMar>
          </w:tcPr>
          <w:p>
            <w:r>
              <w:t>482 comparable historical tests were found; the historical failure rate was 2.7%.</w:t>
            </w:r>
          </w:p>
        </w:tc>
      </w:tr>
    </w:tbl>
    <w:p>
      <w:pPr>
        <w:spacing w:after="40"/>
      </w:pPr>
    </w:p>
    <w:tbl>
      <w:tblPr>
        <w:tblW w:type="auto" w:w="0"/>
        <w:jc w:val="center"/>
        <w:tblLook w:firstColumn="1" w:firstRow="1" w:lastColumn="0" w:lastRow="0" w:noHBand="0" w:noVBand="1" w:val="04A0"/>
      </w:tblPr>
      <w:tblGrid>
        <w:gridCol w:w="10454"/>
      </w:tblGrid>
      <w:tr>
        <w:tc>
          <w:tcPr>
            <w:tcW w:type="dxa" w:w="10454"/>
            <w:shd w:fill="E2F0D9"/>
            <w:tcMar>
              <w:top w:w="100" w:type="dxa"/>
              <w:start w:w="120" w:type="dxa"/>
              <w:bottom w:w="100" w:type="dxa"/>
              <w:end w:w="120" w:type="dxa"/>
            </w:tcMar>
          </w:tcPr>
          <w:p>
            <w:pPr>
              <w:spacing w:after="40"/>
            </w:pPr>
            <w:r>
              <w:rPr>
                <w:b/>
                <w:color w:val="548235"/>
              </w:rPr>
              <w:t>Important distinction</w:t>
            </w:r>
          </w:p>
          <w:p>
            <w:pPr>
              <w:spacing w:after="0"/>
            </w:pPr>
            <w:r>
              <w:t>We would not be predicting what will happen to the current placement. We would be showing what actually happened in comparable approved historical tests so the engineer can make the final judgment.</w:t>
            </w:r>
          </w:p>
        </w:tc>
      </w:tr>
    </w:tbl>
    <w:p>
      <w:pPr>
        <w:pStyle w:val="Heading1"/>
      </w:pPr>
      <w:r>
        <w:t>How This Could Support New or Additional Revenue</w:t>
      </w:r>
    </w:p>
    <w:p>
      <w:r>
        <w:rPr>
          <w:b/>
        </w:rPr>
        <w:t xml:space="preserve">I cannot say yet that clients would pay for this as a standalone product. </w:t>
      </w:r>
      <w:r>
        <w:t>However, I think it could create commercial value in several practical ways:</w:t>
      </w:r>
    </w:p>
    <w:p>
      <w:pPr>
        <w:pStyle w:val="ListBullet"/>
        <w:spacing w:after="24"/>
      </w:pPr>
      <w:r>
        <w:t>Differentiate WSP materials-testing proposals from competitors that provide only testing and reports.</w:t>
      </w:r>
    </w:p>
    <w:p>
      <w:pPr>
        <w:pStyle w:val="ListBullet"/>
        <w:spacing w:after="24"/>
      </w:pPr>
      <w:r>
        <w:t>Help WSP win more work by offering clients additional insight from historical testing data they may not have access to themselves.</w:t>
      </w:r>
    </w:p>
    <w:p>
      <w:pPr>
        <w:pStyle w:val="ListBullet"/>
        <w:spacing w:after="24"/>
      </w:pPr>
      <w:r>
        <w:t>Increase the value of existing materials-testing contracts by adding project-level quality trends and historical comparison.</w:t>
      </w:r>
    </w:p>
    <w:p>
      <w:pPr>
        <w:pStyle w:val="ListBullet"/>
        <w:spacing w:after="24"/>
      </w:pPr>
      <w:r>
        <w:t>Strengthen client relationships by helping owners and engineers understand results faster and with more context.</w:t>
      </w:r>
    </w:p>
    <w:p>
      <w:pPr>
        <w:pStyle w:val="ListBullet"/>
        <w:spacing w:after="24"/>
      </w:pPr>
      <w:r>
        <w:t>If clients find the service valuable, it could later support a premium quality-review or analytics service.</w:t>
      </w:r>
    </w:p>
    <w:p>
      <w:pPr>
        <w:pStyle w:val="Heading1"/>
      </w:pPr>
      <w:r>
        <w:t>Target Market and Why</w:t>
      </w:r>
    </w:p>
    <w:p>
      <w:r>
        <w:rPr>
          <w:b/>
        </w:rPr>
        <w:t>The most likely target market is clients that already require a significant amount of materials testing, including:</w:t>
      </w:r>
    </w:p>
    <w:p>
      <w:pPr>
        <w:pStyle w:val="ListBullet"/>
        <w:spacing w:after="24"/>
      </w:pPr>
      <w:r>
        <w:t>State DOTs and transportation agencies</w:t>
      </w:r>
    </w:p>
    <w:p>
      <w:pPr>
        <w:pStyle w:val="ListBullet"/>
        <w:spacing w:after="24"/>
      </w:pPr>
      <w:r>
        <w:t>Municipalities and public owners</w:t>
      </w:r>
    </w:p>
    <w:p>
      <w:pPr>
        <w:pStyle w:val="ListBullet"/>
        <w:spacing w:after="24"/>
      </w:pPr>
      <w:r>
        <w:t>Large infrastructure owners and program managers</w:t>
      </w:r>
    </w:p>
    <w:p>
      <w:pPr>
        <w:pStyle w:val="ListBullet"/>
        <w:spacing w:after="24"/>
      </w:pPr>
      <w:r>
        <w:t>Large construction projects with ongoing concrete, soil, and asphalt testing</w:t>
      </w:r>
    </w:p>
    <w:p>
      <w:r>
        <w:rPr>
          <w:b/>
        </w:rPr>
        <w:t xml:space="preserve">Why these clients: </w:t>
      </w:r>
      <w:r>
        <w:t>They already receive many individual test reports and need to understand overall project quality. Historical comparison could give them context that is difficult to obtain from a single project or a single test report.</w:t>
      </w:r>
    </w:p>
    <w:p>
      <w:pPr>
        <w:pStyle w:val="Heading1"/>
      </w:pPr>
      <w:r>
        <w:t>Why WSP May Have an Advantage</w:t>
      </w:r>
    </w:p>
    <w:p>
      <w:pPr>
        <w:pStyle w:val="ListBullet"/>
        <w:spacing w:after="24"/>
      </w:pPr>
      <w:r>
        <w:t>WSP already performs the material testing.</w:t>
      </w:r>
    </w:p>
    <w:p>
      <w:pPr>
        <w:pStyle w:val="ListBullet"/>
        <w:spacing w:after="24"/>
      </w:pPr>
      <w:r>
        <w:t>The historical data already exists in IMTS and was created through normal project operations.</w:t>
      </w:r>
    </w:p>
    <w:p>
      <w:pPr>
        <w:pStyle w:val="ListBullet"/>
        <w:spacing w:after="24"/>
      </w:pPr>
      <w:r>
        <w:t>WSP has materials engineers who understand the testing context.</w:t>
      </w:r>
    </w:p>
    <w:p>
      <w:pPr>
        <w:pStyle w:val="ListBullet"/>
        <w:spacing w:after="24"/>
      </w:pPr>
      <w:r>
        <w:t>WSP already has relationships with the clients who use these services.</w:t>
      </w:r>
    </w:p>
    <w:p>
      <w:r>
        <w:rPr>
          <w:b/>
        </w:rPr>
        <w:t>The differentiator is the combination of historical data + engineering knowledge + existing client relationships.</w:t>
      </w:r>
    </w:p>
    <w:p>
      <w:pPr>
        <w:pStyle w:val="Heading1"/>
      </w:pPr>
      <w:r>
        <w:t>Where Prediction Fits</w:t>
      </w:r>
    </w:p>
    <w:p>
      <w:r>
        <w:rPr>
          <w:b/>
        </w:rPr>
        <w:t xml:space="preserve">Mix Optimization and Predictive Quality Analysis can remain future or optional capabilities. </w:t>
      </w:r>
      <w:r>
        <w:t>For a first client-facing concept, historical comparison may be easier to explain and lower risk because it presents observed past results rather than telling the client what will happen next.</w:t>
      </w:r>
    </w:p>
    <w:p>
      <w:pPr>
        <w:pStyle w:val="Heading1"/>
      </w:pPr>
      <w:r>
        <w:t>Simple Pitch Jeff Could Socialize</w:t>
      </w:r>
    </w:p>
    <w:tbl>
      <w:tblPr>
        <w:tblW w:type="auto" w:w="0"/>
        <w:jc w:val="center"/>
        <w:tblLook w:firstColumn="1" w:firstRow="1" w:lastColumn="0" w:lastRow="0" w:noHBand="0" w:noVBand="1" w:val="04A0"/>
      </w:tblPr>
      <w:tblGrid>
        <w:gridCol w:w="10454"/>
      </w:tblGrid>
      <w:tr>
        <w:tc>
          <w:tcPr>
            <w:tcW w:type="dxa" w:w="10454"/>
            <w:shd w:fill="DDEBF7"/>
            <w:tcMar>
              <w:top w:w="100" w:type="dxa"/>
              <w:start w:w="120" w:type="dxa"/>
              <w:bottom w:w="100" w:type="dxa"/>
              <w:end w:w="120" w:type="dxa"/>
            </w:tcMar>
          </w:tcPr>
          <w:p>
            <w:pPr>
              <w:spacing w:after="40"/>
            </w:pPr>
            <w:r>
              <w:rPr>
                <w:b/>
                <w:color w:val="17365D"/>
              </w:rPr>
              <w:t>Short version</w:t>
            </w:r>
          </w:p>
          <w:p>
            <w:pPr>
              <w:spacing w:after="0"/>
            </w:pPr>
            <w:r>
              <w:t>WSP already has years of materials-testing history in IMTS, while clients mainly receive individual test reports. We could use that historical data to give clients more context around current project results - for example, whether a result is unusual, what happened in similar past cases, or how comparable supplier results performed. I do not know yet whether this should be a standalone paid product, but I think it could differentiate WSP's materials-testing services, help us provide more value, and potentially help win more work.</w:t>
            </w:r>
          </w:p>
        </w:tc>
      </w:tr>
    </w:tbl>
    <w:p>
      <w:pPr>
        <w:pStyle w:val="Heading1"/>
      </w:pPr>
      <w:r>
        <w:t>Suggested Next Step</w:t>
      </w:r>
    </w:p>
    <w:p>
      <w:r>
        <w:rPr>
          <w:b/>
        </w:rPr>
        <w:t xml:space="preserve">Test the idea on one active project or with a small group of WSP materials engineers. </w:t>
      </w:r>
      <w:r>
        <w:t>The first question should be simple: does access to historical comparisons help engineers answer real project questions better or faster than they can today? If it does, then we can test whether clients also see enough value to include it in future work.</w:t>
      </w:r>
    </w:p>
    <w:sectPr w:rsidR="00FC693F" w:rsidRPr="0006063C" w:rsidSect="00034616">
      <w:footerReference w:type="default" r:id="rId9"/>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IMTS Project Quality Intelligence | Simple Business Opportunity Pitch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Aptos" w:hAnsi="Apto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ptos" w:hAnsi="Aptos"/>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