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i w:val="0"/>
          <w:color w:val="000000"/>
          <w:sz w:val="46"/>
        </w:rPr>
        <w:t>TECHNICAL ASSESSMENT</w:t>
      </w:r>
    </w:p>
    <w:p>
      <w:pPr>
        <w:spacing w:after="320"/>
      </w:pPr>
      <w:r>
        <w:rPr>
          <w:rFonts w:ascii="Calibri" w:hAnsi="Calibri"/>
          <w:b w:val="0"/>
          <w:i w:val="0"/>
          <w:color w:val="5F6B76"/>
          <w:sz w:val="28"/>
        </w:rPr>
        <w:t>IMTS Mix Optimization Feasibility and Historical Mix Performance Analysis Plan</w:t>
      </w:r>
    </w:p>
    <w:p>
      <w:pPr>
        <w:spacing w:after="60"/>
      </w:pPr>
      <w:r>
        <w:rPr>
          <w:rFonts w:ascii="Calibri" w:hAnsi="Calibri"/>
          <w:b/>
          <w:i w:val="0"/>
          <w:color w:val="1F2937"/>
          <w:sz w:val="21"/>
        </w:rPr>
        <w:t xml:space="preserve">Purpose: </w:t>
      </w:r>
      <w:r>
        <w:rPr>
          <w:rFonts w:ascii="Calibri" w:hAnsi="Calibri"/>
          <w:b w:val="0"/>
          <w:i w:val="0"/>
          <w:color w:val="1F2937"/>
          <w:sz w:val="21"/>
        </w:rPr>
        <w:t>Evaluate whether current IMTS batch data supports ML-based mix optimization and define a practical next analysis.</w:t>
      </w:r>
    </w:p>
    <w:p>
      <w:pPr>
        <w:spacing w:after="60"/>
      </w:pPr>
      <w:r>
        <w:rPr>
          <w:rFonts w:ascii="Calibri" w:hAnsi="Calibri"/>
          <w:b/>
          <w:i w:val="0"/>
          <w:color w:val="1F2937"/>
          <w:sz w:val="21"/>
        </w:rPr>
        <w:t xml:space="preserve">Scope: </w:t>
      </w:r>
      <w:r>
        <w:rPr>
          <w:rFonts w:ascii="Calibri" w:hAnsi="Calibri"/>
          <w:b w:val="0"/>
          <w:i w:val="0"/>
          <w:color w:val="1F2937"/>
          <w:sz w:val="21"/>
        </w:rPr>
        <w:t>US-unit concrete tests with batch, field-measurement, specification, and specimen-strength data.</w:t>
      </w:r>
    </w:p>
    <w:p>
      <w:pPr>
        <w:spacing w:after="60"/>
      </w:pPr>
      <w:r>
        <w:rPr>
          <w:rFonts w:ascii="Calibri" w:hAnsi="Calibri"/>
          <w:b/>
          <w:i w:val="0"/>
          <w:color w:val="1F2937"/>
          <w:sz w:val="21"/>
        </w:rPr>
        <w:t xml:space="preserve">Status: </w:t>
      </w:r>
      <w:r>
        <w:rPr>
          <w:rFonts w:ascii="Calibri" w:hAnsi="Calibri"/>
          <w:b w:val="0"/>
          <w:i w:val="0"/>
          <w:color w:val="1F2937"/>
          <w:sz w:val="21"/>
        </w:rPr>
        <w:t>Automatic optimization not supported by current model performance; historical mix review recommended.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40"/>
            </w:pPr>
            <w:r>
              <w:rPr>
                <w:rFonts w:ascii="Calibri" w:hAnsi="Calibri"/>
                <w:b/>
                <w:i w:val="0"/>
                <w:color w:val="9B1C1C"/>
                <w:sz w:val="21"/>
              </w:rPr>
              <w:t xml:space="preserve">Decision  </w:t>
            </w:r>
            <w:r>
              <w:rPr>
                <w:rFonts w:ascii="Calibri" w:hAnsi="Calibri"/>
                <w:b w:val="0"/>
                <w:i w:val="0"/>
                <w:color w:val="1F2937"/>
                <w:sz w:val="21"/>
              </w:rPr>
              <w:t>Do not use the current batch-only strength model to recommend cement reductions or approve new mix designs. Use the data first to identify historically stable, over-performing mixes for engineering review.</w:t>
            </w:r>
          </w:p>
        </w:tc>
      </w:tr>
    </w:tbl>
    <w:p>
      <w:pPr>
        <w:spacing w:after="40"/>
      </w:pPr>
    </w:p>
    <w:p>
      <w:pPr>
        <w:pStyle w:val="Heading1"/>
        <w:keepNext/>
      </w:pPr>
      <w:r>
        <w:t>1. Executive Summary</w:t>
      </w:r>
    </w:p>
    <w:p>
      <w:pPr>
        <w:spacing w:before="0" w:after="120" w:line="264" w:lineRule="auto"/>
      </w:pPr>
      <w:r>
        <w:rPr>
          <w:rFonts w:ascii="Calibri" w:hAnsi="Calibri"/>
          <w:b w:val="0"/>
          <w:i w:val="0"/>
          <w:color w:val="1F2937"/>
          <w:sz w:val="21"/>
        </w:rPr>
        <w:t>The current IMTS batch dataset contains measurable relationships with air, slump, and 28-day strength, but it does not support reliable automatic mix optimization. The batch-only strength model achieved only about R² = 0.18, with an MAE of about 662 psi, RMSE near 1,280 psi, and P90 absolute error near 1,135 psi. These errors are too large for safely reducing cement while assuring required strength.</w:t>
      </w:r>
    </w:p>
    <w:p>
      <w:pPr>
        <w:spacing w:before="0" w:after="120" w:line="264" w:lineRule="auto"/>
      </w:pPr>
      <w:r>
        <w:rPr>
          <w:rFonts w:ascii="Calibri" w:hAnsi="Calibri"/>
          <w:b w:val="0"/>
          <w:i w:val="0"/>
          <w:color w:val="1F2937"/>
          <w:sz w:val="21"/>
        </w:rPr>
        <w:t>The data remains valuable for a different business use: Historical Mix Performance Analysis. Instead of asking the model to invent or optimize a new recipe, IMTS can group actual historical tests by supplier, plant, mix number, required-strength class, and applicable specifications. It can then quantify strength reliability, failure rate, variability, field compliance, and material use. The output becomes a defensible list of mix-design review candidates for a materials engineer.</w:t>
      </w:r>
    </w:p>
    <w:p>
      <w:pPr>
        <w:pStyle w:val="Heading1"/>
        <w:keepNext/>
      </w:pPr>
      <w:r>
        <w:t>2. Evidence from the Surrogate Models</w:t>
      </w:r>
    </w:p>
    <w:tbl>
      <w:tblPr>
        <w:tblStyle w:val="TableGrid"/>
        <w:tblW w:type="dxa" w:w="9360"/>
        <w:jc w:val="left"/>
        <w:tblLayout w:type="fixed"/>
        <w:tblLook w:firstColumn="1" w:firstRow="1" w:lastColumn="0" w:lastRow="0" w:noHBand="0" w:noVBand="1" w:val="04A0"/>
        <w:tblInd w:w="120" w:type="dxa"/>
      </w:tblPr>
      <w:tblGrid>
        <w:gridCol w:w="1250"/>
        <w:gridCol w:w="1550"/>
        <w:gridCol w:w="800"/>
        <w:gridCol w:w="800"/>
        <w:gridCol w:w="650"/>
        <w:gridCol w:w="1100"/>
        <w:gridCol w:w="3210"/>
      </w:tblGrid>
      <w:tr>
        <w:tc>
          <w:tcPr>
            <w:tcW w:type="dxa" w:w="1250"/>
            <w:shd w:fill="F2F4F7"/>
            <w:tcMar>
              <w:top w:w="80" w:type="dxa"/>
              <w:start w:w="120" w:type="dxa"/>
              <w:bottom w:w="80" w:type="dxa"/>
              <w:end w:w="120" w:type="dxa"/>
            </w:tcMar>
            <w:vAlign w:val="center"/>
          </w:tcPr>
          <w:p>
            <w:pPr>
              <w:spacing w:after="0"/>
              <w:jc w:val="center"/>
            </w:pPr>
            <w:r>
              <w:rPr>
                <w:rFonts w:ascii="Calibri" w:hAnsi="Calibri"/>
                <w:b/>
                <w:i w:val="0"/>
                <w:color w:val="1F4D78"/>
                <w:sz w:val="18"/>
              </w:rPr>
              <w:t>Target</w:t>
            </w:r>
          </w:p>
        </w:tc>
        <w:tc>
          <w:tcPr>
            <w:tcW w:type="dxa" w:w="1550"/>
            <w:shd w:fill="F2F4F7"/>
            <w:tcMar>
              <w:top w:w="80" w:type="dxa"/>
              <w:start w:w="120" w:type="dxa"/>
              <w:bottom w:w="80" w:type="dxa"/>
              <w:end w:w="120" w:type="dxa"/>
            </w:tcMar>
            <w:vAlign w:val="center"/>
          </w:tcPr>
          <w:p>
            <w:pPr>
              <w:spacing w:after="0"/>
              <w:jc w:val="center"/>
            </w:pPr>
            <w:r>
              <w:rPr>
                <w:rFonts w:ascii="Calibri" w:hAnsi="Calibri"/>
                <w:b/>
                <w:i w:val="0"/>
                <w:color w:val="1F4D78"/>
                <w:sz w:val="18"/>
              </w:rPr>
              <w:t>Best model</w:t>
            </w:r>
          </w:p>
        </w:tc>
        <w:tc>
          <w:tcPr>
            <w:tcW w:type="dxa" w:w="800"/>
            <w:shd w:fill="F2F4F7"/>
            <w:tcMar>
              <w:top w:w="80" w:type="dxa"/>
              <w:start w:w="120" w:type="dxa"/>
              <w:bottom w:w="80" w:type="dxa"/>
              <w:end w:w="120" w:type="dxa"/>
            </w:tcMar>
            <w:vAlign w:val="center"/>
          </w:tcPr>
          <w:p>
            <w:pPr>
              <w:spacing w:after="0"/>
              <w:jc w:val="center"/>
            </w:pPr>
            <w:r>
              <w:rPr>
                <w:rFonts w:ascii="Calibri" w:hAnsi="Calibri"/>
                <w:b/>
                <w:i w:val="0"/>
                <w:color w:val="1F4D78"/>
                <w:sz w:val="18"/>
              </w:rPr>
              <w:t>MAE</w:t>
            </w:r>
          </w:p>
        </w:tc>
        <w:tc>
          <w:tcPr>
            <w:tcW w:type="dxa" w:w="800"/>
            <w:shd w:fill="F2F4F7"/>
            <w:tcMar>
              <w:top w:w="80" w:type="dxa"/>
              <w:start w:w="120" w:type="dxa"/>
              <w:bottom w:w="80" w:type="dxa"/>
              <w:end w:w="120" w:type="dxa"/>
            </w:tcMar>
            <w:vAlign w:val="center"/>
          </w:tcPr>
          <w:p>
            <w:pPr>
              <w:spacing w:after="0"/>
              <w:jc w:val="center"/>
            </w:pPr>
            <w:r>
              <w:rPr>
                <w:rFonts w:ascii="Calibri" w:hAnsi="Calibri"/>
                <w:b/>
                <w:i w:val="0"/>
                <w:color w:val="1F4D78"/>
                <w:sz w:val="18"/>
              </w:rPr>
              <w:t>RMSE</w:t>
            </w:r>
          </w:p>
        </w:tc>
        <w:tc>
          <w:tcPr>
            <w:tcW w:type="dxa" w:w="650"/>
            <w:shd w:fill="F2F4F7"/>
            <w:tcMar>
              <w:top w:w="80" w:type="dxa"/>
              <w:start w:w="120" w:type="dxa"/>
              <w:bottom w:w="80" w:type="dxa"/>
              <w:end w:w="120" w:type="dxa"/>
            </w:tcMar>
            <w:vAlign w:val="center"/>
          </w:tcPr>
          <w:p>
            <w:pPr>
              <w:spacing w:after="0"/>
              <w:jc w:val="center"/>
            </w:pPr>
            <w:r>
              <w:rPr>
                <w:rFonts w:ascii="Calibri" w:hAnsi="Calibri"/>
                <w:b/>
                <w:i w:val="0"/>
                <w:color w:val="1F4D78"/>
                <w:sz w:val="18"/>
              </w:rPr>
              <w:t>R²</w:t>
            </w:r>
          </w:p>
        </w:tc>
        <w:tc>
          <w:tcPr>
            <w:tcW w:type="dxa" w:w="1100"/>
            <w:shd w:fill="F2F4F7"/>
            <w:tcMar>
              <w:top w:w="80" w:type="dxa"/>
              <w:start w:w="120" w:type="dxa"/>
              <w:bottom w:w="80" w:type="dxa"/>
              <w:end w:w="120" w:type="dxa"/>
            </w:tcMar>
            <w:vAlign w:val="center"/>
          </w:tcPr>
          <w:p>
            <w:pPr>
              <w:spacing w:after="0"/>
              <w:jc w:val="center"/>
            </w:pPr>
            <w:r>
              <w:rPr>
                <w:rFonts w:ascii="Calibri" w:hAnsi="Calibri"/>
                <w:b/>
                <w:i w:val="0"/>
                <w:color w:val="1F4D78"/>
                <w:sz w:val="18"/>
              </w:rPr>
              <w:t>P90 abs. error</w:t>
            </w:r>
          </w:p>
        </w:tc>
        <w:tc>
          <w:tcPr>
            <w:tcW w:type="dxa" w:w="3210"/>
            <w:shd w:fill="F2F4F7"/>
            <w:tcMar>
              <w:top w:w="80" w:type="dxa"/>
              <w:start w:w="120" w:type="dxa"/>
              <w:bottom w:w="80" w:type="dxa"/>
              <w:end w:w="120" w:type="dxa"/>
            </w:tcMar>
            <w:vAlign w:val="center"/>
          </w:tcPr>
          <w:p>
            <w:pPr>
              <w:spacing w:after="0"/>
              <w:jc w:val="center"/>
            </w:pPr>
            <w:r>
              <w:rPr>
                <w:rFonts w:ascii="Calibri" w:hAnsi="Calibri"/>
                <w:b/>
                <w:i w:val="0"/>
                <w:color w:val="1F4D78"/>
                <w:sz w:val="18"/>
              </w:rPr>
              <w:t>Assessment</w:t>
            </w:r>
          </w:p>
        </w:tc>
      </w:tr>
      <w:tr>
        <w:tc>
          <w:tcPr>
            <w:tcW w:type="dxa" w:w="1250"/>
            <w:tcMar>
              <w:top w:w="80" w:type="dxa"/>
              <w:start w:w="120" w:type="dxa"/>
              <w:bottom w:w="80" w:type="dxa"/>
              <w:end w:w="120" w:type="dxa"/>
            </w:tcMar>
            <w:vAlign w:val="center"/>
          </w:tcPr>
          <w:p>
            <w:pPr>
              <w:spacing w:after="0"/>
              <w:jc w:val="left"/>
            </w:pPr>
            <w:r>
              <w:rPr>
                <w:rFonts w:ascii="Calibri" w:hAnsi="Calibri"/>
                <w:b w:val="0"/>
                <w:i w:val="0"/>
                <w:color w:val="1F2937"/>
                <w:sz w:val="18"/>
              </w:rPr>
              <w:t>Air (%)</w:t>
            </w:r>
          </w:p>
        </w:tc>
        <w:tc>
          <w:tcPr>
            <w:tcW w:type="dxa" w:w="1550"/>
            <w:tcMar>
              <w:top w:w="80" w:type="dxa"/>
              <w:start w:w="120" w:type="dxa"/>
              <w:bottom w:w="80" w:type="dxa"/>
              <w:end w:w="120" w:type="dxa"/>
            </w:tcMar>
            <w:vAlign w:val="center"/>
          </w:tcPr>
          <w:p>
            <w:pPr>
              <w:spacing w:after="0"/>
              <w:jc w:val="left"/>
            </w:pPr>
            <w:r>
              <w:rPr>
                <w:rFonts w:ascii="Calibri" w:hAnsi="Calibri"/>
                <w:b w:val="0"/>
                <w:i w:val="0"/>
                <w:color w:val="1F2937"/>
                <w:sz w:val="18"/>
              </w:rPr>
              <w:t>HistGradientBoosting</w:t>
            </w:r>
          </w:p>
        </w:tc>
        <w:tc>
          <w:tcPr>
            <w:tcW w:type="dxa" w:w="800"/>
            <w:tcMar>
              <w:top w:w="80" w:type="dxa"/>
              <w:start w:w="120" w:type="dxa"/>
              <w:bottom w:w="80" w:type="dxa"/>
              <w:end w:w="120" w:type="dxa"/>
            </w:tcMar>
            <w:vAlign w:val="center"/>
          </w:tcPr>
          <w:p>
            <w:pPr>
              <w:spacing w:after="0"/>
              <w:jc w:val="center"/>
            </w:pPr>
            <w:r>
              <w:rPr>
                <w:rFonts w:ascii="Calibri" w:hAnsi="Calibri"/>
                <w:b w:val="0"/>
                <w:i w:val="0"/>
                <w:color w:val="1F2937"/>
                <w:sz w:val="18"/>
              </w:rPr>
              <w:t>0.93</w:t>
            </w:r>
          </w:p>
        </w:tc>
        <w:tc>
          <w:tcPr>
            <w:tcW w:type="dxa" w:w="800"/>
            <w:tcMar>
              <w:top w:w="80" w:type="dxa"/>
              <w:start w:w="120" w:type="dxa"/>
              <w:bottom w:w="80" w:type="dxa"/>
              <w:end w:w="120" w:type="dxa"/>
            </w:tcMar>
            <w:vAlign w:val="center"/>
          </w:tcPr>
          <w:p>
            <w:pPr>
              <w:spacing w:after="0"/>
              <w:jc w:val="center"/>
            </w:pPr>
            <w:r>
              <w:rPr>
                <w:rFonts w:ascii="Calibri" w:hAnsi="Calibri"/>
                <w:b w:val="0"/>
                <w:i w:val="0"/>
                <w:color w:val="1F2937"/>
                <w:sz w:val="18"/>
              </w:rPr>
              <w:t>1.32</w:t>
            </w:r>
          </w:p>
        </w:tc>
        <w:tc>
          <w:tcPr>
            <w:tcW w:type="dxa" w:w="650"/>
            <w:tcMar>
              <w:top w:w="80" w:type="dxa"/>
              <w:start w:w="120" w:type="dxa"/>
              <w:bottom w:w="80" w:type="dxa"/>
              <w:end w:w="120" w:type="dxa"/>
            </w:tcMar>
            <w:vAlign w:val="center"/>
          </w:tcPr>
          <w:p>
            <w:pPr>
              <w:spacing w:after="0"/>
              <w:jc w:val="center"/>
            </w:pPr>
            <w:r>
              <w:rPr>
                <w:rFonts w:ascii="Calibri" w:hAnsi="Calibri"/>
                <w:b w:val="0"/>
                <w:i w:val="0"/>
                <w:color w:val="1F2937"/>
                <w:sz w:val="18"/>
              </w:rPr>
              <w:t>0.585</w:t>
            </w:r>
          </w:p>
        </w:tc>
        <w:tc>
          <w:tcPr>
            <w:tcW w:type="dxa" w:w="1100"/>
            <w:tcMar>
              <w:top w:w="80" w:type="dxa"/>
              <w:start w:w="120" w:type="dxa"/>
              <w:bottom w:w="80" w:type="dxa"/>
              <w:end w:w="120" w:type="dxa"/>
            </w:tcMar>
            <w:vAlign w:val="center"/>
          </w:tcPr>
          <w:p>
            <w:pPr>
              <w:spacing w:after="0"/>
              <w:jc w:val="center"/>
            </w:pPr>
            <w:r>
              <w:rPr>
                <w:rFonts w:ascii="Calibri" w:hAnsi="Calibri"/>
                <w:b w:val="0"/>
                <w:i w:val="0"/>
                <w:color w:val="1F2937"/>
                <w:sz w:val="18"/>
              </w:rPr>
              <w:t>2.20</w:t>
            </w:r>
          </w:p>
        </w:tc>
        <w:tc>
          <w:tcPr>
            <w:tcW w:type="dxa" w:w="3210"/>
            <w:tcMar>
              <w:top w:w="80" w:type="dxa"/>
              <w:start w:w="120" w:type="dxa"/>
              <w:bottom w:w="80" w:type="dxa"/>
              <w:end w:w="120" w:type="dxa"/>
            </w:tcMar>
            <w:vAlign w:val="center"/>
          </w:tcPr>
          <w:p>
            <w:pPr>
              <w:spacing w:after="0"/>
              <w:jc w:val="left"/>
            </w:pPr>
            <w:r>
              <w:rPr>
                <w:rFonts w:ascii="Calibri" w:hAnsi="Calibri"/>
                <w:b w:val="0"/>
                <w:i w:val="0"/>
                <w:color w:val="1F2937"/>
                <w:sz w:val="18"/>
              </w:rPr>
              <w:t>Moderate signal; not a tight specification guarantee</w:t>
            </w:r>
          </w:p>
        </w:tc>
      </w:tr>
      <w:tr>
        <w:tc>
          <w:tcPr>
            <w:tcW w:type="dxa" w:w="1250"/>
            <w:tcMar>
              <w:top w:w="80" w:type="dxa"/>
              <w:start w:w="120" w:type="dxa"/>
              <w:bottom w:w="80" w:type="dxa"/>
              <w:end w:w="120" w:type="dxa"/>
            </w:tcMar>
            <w:vAlign w:val="center"/>
          </w:tcPr>
          <w:p>
            <w:pPr>
              <w:spacing w:after="0"/>
              <w:jc w:val="left"/>
            </w:pPr>
            <w:r>
              <w:rPr>
                <w:rFonts w:ascii="Calibri" w:hAnsi="Calibri"/>
                <w:b w:val="0"/>
                <w:i w:val="0"/>
                <w:color w:val="1F2937"/>
                <w:sz w:val="18"/>
              </w:rPr>
              <w:t>Slump (in)</w:t>
            </w:r>
          </w:p>
        </w:tc>
        <w:tc>
          <w:tcPr>
            <w:tcW w:type="dxa" w:w="1550"/>
            <w:tcMar>
              <w:top w:w="80" w:type="dxa"/>
              <w:start w:w="120" w:type="dxa"/>
              <w:bottom w:w="80" w:type="dxa"/>
              <w:end w:w="120" w:type="dxa"/>
            </w:tcMar>
            <w:vAlign w:val="center"/>
          </w:tcPr>
          <w:p>
            <w:pPr>
              <w:spacing w:after="0"/>
              <w:jc w:val="left"/>
            </w:pPr>
            <w:r>
              <w:rPr>
                <w:rFonts w:ascii="Calibri" w:hAnsi="Calibri"/>
                <w:b w:val="0"/>
                <w:i w:val="0"/>
                <w:color w:val="1F2937"/>
                <w:sz w:val="18"/>
              </w:rPr>
              <w:t>ExtraTrees</w:t>
            </w:r>
          </w:p>
        </w:tc>
        <w:tc>
          <w:tcPr>
            <w:tcW w:type="dxa" w:w="800"/>
            <w:tcMar>
              <w:top w:w="80" w:type="dxa"/>
              <w:start w:w="120" w:type="dxa"/>
              <w:bottom w:w="80" w:type="dxa"/>
              <w:end w:w="120" w:type="dxa"/>
            </w:tcMar>
            <w:vAlign w:val="center"/>
          </w:tcPr>
          <w:p>
            <w:pPr>
              <w:spacing w:after="0"/>
              <w:jc w:val="center"/>
            </w:pPr>
            <w:r>
              <w:rPr>
                <w:rFonts w:ascii="Calibri" w:hAnsi="Calibri"/>
                <w:b w:val="0"/>
                <w:i w:val="0"/>
                <w:color w:val="1F2937"/>
                <w:sz w:val="18"/>
              </w:rPr>
              <w:t>1.20</w:t>
            </w:r>
          </w:p>
        </w:tc>
        <w:tc>
          <w:tcPr>
            <w:tcW w:type="dxa" w:w="800"/>
            <w:tcMar>
              <w:top w:w="80" w:type="dxa"/>
              <w:start w:w="120" w:type="dxa"/>
              <w:bottom w:w="80" w:type="dxa"/>
              <w:end w:w="120" w:type="dxa"/>
            </w:tcMar>
            <w:vAlign w:val="center"/>
          </w:tcPr>
          <w:p>
            <w:pPr>
              <w:spacing w:after="0"/>
              <w:jc w:val="center"/>
            </w:pPr>
            <w:r>
              <w:rPr>
                <w:rFonts w:ascii="Calibri" w:hAnsi="Calibri"/>
                <w:b w:val="0"/>
                <w:i w:val="0"/>
                <w:color w:val="1F2937"/>
                <w:sz w:val="18"/>
              </w:rPr>
              <w:t>1.58</w:t>
            </w:r>
          </w:p>
        </w:tc>
        <w:tc>
          <w:tcPr>
            <w:tcW w:type="dxa" w:w="650"/>
            <w:tcMar>
              <w:top w:w="80" w:type="dxa"/>
              <w:start w:w="120" w:type="dxa"/>
              <w:bottom w:w="80" w:type="dxa"/>
              <w:end w:w="120" w:type="dxa"/>
            </w:tcMar>
            <w:vAlign w:val="center"/>
          </w:tcPr>
          <w:p>
            <w:pPr>
              <w:spacing w:after="0"/>
              <w:jc w:val="center"/>
            </w:pPr>
            <w:r>
              <w:rPr>
                <w:rFonts w:ascii="Calibri" w:hAnsi="Calibri"/>
                <w:b w:val="0"/>
                <w:i w:val="0"/>
                <w:color w:val="1F2937"/>
                <w:sz w:val="18"/>
              </w:rPr>
              <w:t>0.238</w:t>
            </w:r>
          </w:p>
        </w:tc>
        <w:tc>
          <w:tcPr>
            <w:tcW w:type="dxa" w:w="1100"/>
            <w:tcMar>
              <w:top w:w="80" w:type="dxa"/>
              <w:start w:w="120" w:type="dxa"/>
              <w:bottom w:w="80" w:type="dxa"/>
              <w:end w:w="120" w:type="dxa"/>
            </w:tcMar>
            <w:vAlign w:val="center"/>
          </w:tcPr>
          <w:p>
            <w:pPr>
              <w:spacing w:after="0"/>
              <w:jc w:val="center"/>
            </w:pPr>
            <w:r>
              <w:rPr>
                <w:rFonts w:ascii="Calibri" w:hAnsi="Calibri"/>
                <w:b w:val="0"/>
                <w:i w:val="0"/>
                <w:color w:val="1F2937"/>
                <w:sz w:val="18"/>
              </w:rPr>
              <w:t>2.55</w:t>
            </w:r>
          </w:p>
        </w:tc>
        <w:tc>
          <w:tcPr>
            <w:tcW w:type="dxa" w:w="3210"/>
            <w:tcMar>
              <w:top w:w="80" w:type="dxa"/>
              <w:start w:w="120" w:type="dxa"/>
              <w:bottom w:w="80" w:type="dxa"/>
              <w:end w:w="120" w:type="dxa"/>
            </w:tcMar>
            <w:vAlign w:val="center"/>
          </w:tcPr>
          <w:p>
            <w:pPr>
              <w:spacing w:after="0"/>
              <w:jc w:val="left"/>
            </w:pPr>
            <w:r>
              <w:rPr>
                <w:rFonts w:ascii="Calibri" w:hAnsi="Calibri"/>
                <w:b w:val="0"/>
                <w:i w:val="0"/>
                <w:color w:val="1F2937"/>
                <w:sz w:val="18"/>
              </w:rPr>
              <w:t>Weak; error can exceed a typical tolerance</w:t>
            </w:r>
          </w:p>
        </w:tc>
      </w:tr>
      <w:tr>
        <w:tc>
          <w:tcPr>
            <w:tcW w:type="dxa" w:w="1250"/>
            <w:tcMar>
              <w:top w:w="80" w:type="dxa"/>
              <w:start w:w="120" w:type="dxa"/>
              <w:bottom w:w="80" w:type="dxa"/>
              <w:end w:w="120" w:type="dxa"/>
            </w:tcMar>
            <w:vAlign w:val="center"/>
          </w:tcPr>
          <w:p>
            <w:pPr>
              <w:spacing w:after="0"/>
              <w:jc w:val="left"/>
            </w:pPr>
            <w:r>
              <w:rPr>
                <w:rFonts w:ascii="Calibri" w:hAnsi="Calibri"/>
                <w:b w:val="0"/>
                <w:i w:val="0"/>
                <w:color w:val="1F2937"/>
                <w:sz w:val="18"/>
              </w:rPr>
              <w:t>28-day strength (psi)</w:t>
            </w:r>
          </w:p>
        </w:tc>
        <w:tc>
          <w:tcPr>
            <w:tcW w:type="dxa" w:w="1550"/>
            <w:tcMar>
              <w:top w:w="80" w:type="dxa"/>
              <w:start w:w="120" w:type="dxa"/>
              <w:bottom w:w="80" w:type="dxa"/>
              <w:end w:w="120" w:type="dxa"/>
            </w:tcMar>
            <w:vAlign w:val="center"/>
          </w:tcPr>
          <w:p>
            <w:pPr>
              <w:spacing w:after="0"/>
              <w:jc w:val="left"/>
            </w:pPr>
            <w:r>
              <w:rPr>
                <w:rFonts w:ascii="Calibri" w:hAnsi="Calibri"/>
                <w:b w:val="0"/>
                <w:i w:val="0"/>
                <w:color w:val="1F2937"/>
                <w:sz w:val="18"/>
              </w:rPr>
              <w:t>ExtraTrees</w:t>
            </w:r>
          </w:p>
        </w:tc>
        <w:tc>
          <w:tcPr>
            <w:tcW w:type="dxa" w:w="800"/>
            <w:tcMar>
              <w:top w:w="80" w:type="dxa"/>
              <w:start w:w="120" w:type="dxa"/>
              <w:bottom w:w="80" w:type="dxa"/>
              <w:end w:w="120" w:type="dxa"/>
            </w:tcMar>
            <w:vAlign w:val="center"/>
          </w:tcPr>
          <w:p>
            <w:pPr>
              <w:spacing w:after="0"/>
              <w:jc w:val="center"/>
            </w:pPr>
            <w:r>
              <w:rPr>
                <w:rFonts w:ascii="Calibri" w:hAnsi="Calibri"/>
                <w:b w:val="0"/>
                <w:i w:val="0"/>
                <w:color w:val="1F2937"/>
                <w:sz w:val="18"/>
              </w:rPr>
              <w:t>662</w:t>
            </w:r>
          </w:p>
        </w:tc>
        <w:tc>
          <w:tcPr>
            <w:tcW w:type="dxa" w:w="800"/>
            <w:tcMar>
              <w:top w:w="80" w:type="dxa"/>
              <w:start w:w="120" w:type="dxa"/>
              <w:bottom w:w="80" w:type="dxa"/>
              <w:end w:w="120" w:type="dxa"/>
            </w:tcMar>
            <w:vAlign w:val="center"/>
          </w:tcPr>
          <w:p>
            <w:pPr>
              <w:spacing w:after="0"/>
              <w:jc w:val="center"/>
            </w:pPr>
            <w:r>
              <w:rPr>
                <w:rFonts w:ascii="Calibri" w:hAnsi="Calibri"/>
                <w:b w:val="0"/>
                <w:i w:val="0"/>
                <w:color w:val="1F2937"/>
                <w:sz w:val="18"/>
              </w:rPr>
              <w:t>1,280</w:t>
            </w:r>
          </w:p>
        </w:tc>
        <w:tc>
          <w:tcPr>
            <w:tcW w:type="dxa" w:w="650"/>
            <w:tcMar>
              <w:top w:w="80" w:type="dxa"/>
              <w:start w:w="120" w:type="dxa"/>
              <w:bottom w:w="80" w:type="dxa"/>
              <w:end w:w="120" w:type="dxa"/>
            </w:tcMar>
            <w:vAlign w:val="center"/>
          </w:tcPr>
          <w:p>
            <w:pPr>
              <w:spacing w:after="0"/>
              <w:jc w:val="center"/>
            </w:pPr>
            <w:r>
              <w:rPr>
                <w:rFonts w:ascii="Calibri" w:hAnsi="Calibri"/>
                <w:b w:val="0"/>
                <w:i w:val="0"/>
                <w:color w:val="1F2937"/>
                <w:sz w:val="18"/>
              </w:rPr>
              <w:t>0.180</w:t>
            </w:r>
          </w:p>
        </w:tc>
        <w:tc>
          <w:tcPr>
            <w:tcW w:type="dxa" w:w="1100"/>
            <w:tcMar>
              <w:top w:w="80" w:type="dxa"/>
              <w:start w:w="120" w:type="dxa"/>
              <w:bottom w:w="80" w:type="dxa"/>
              <w:end w:w="120" w:type="dxa"/>
            </w:tcMar>
            <w:vAlign w:val="center"/>
          </w:tcPr>
          <w:p>
            <w:pPr>
              <w:spacing w:after="0"/>
              <w:jc w:val="center"/>
            </w:pPr>
            <w:r>
              <w:rPr>
                <w:rFonts w:ascii="Calibri" w:hAnsi="Calibri"/>
                <w:b w:val="0"/>
                <w:i w:val="0"/>
                <w:color w:val="1F2937"/>
                <w:sz w:val="18"/>
              </w:rPr>
              <w:t>1,135</w:t>
            </w:r>
          </w:p>
        </w:tc>
        <w:tc>
          <w:tcPr>
            <w:tcW w:type="dxa" w:w="3210"/>
            <w:tcMar>
              <w:top w:w="80" w:type="dxa"/>
              <w:start w:w="120" w:type="dxa"/>
              <w:bottom w:w="80" w:type="dxa"/>
              <w:end w:w="120" w:type="dxa"/>
            </w:tcMar>
            <w:vAlign w:val="center"/>
          </w:tcPr>
          <w:p>
            <w:pPr>
              <w:spacing w:after="0"/>
              <w:jc w:val="left"/>
            </w:pPr>
            <w:r>
              <w:rPr>
                <w:rFonts w:ascii="Calibri" w:hAnsi="Calibri"/>
                <w:b w:val="0"/>
                <w:i w:val="0"/>
                <w:color w:val="1F2937"/>
                <w:sz w:val="18"/>
              </w:rPr>
              <w:t>Insufficient for automatic optimization</w:t>
            </w:r>
          </w:p>
        </w:tc>
      </w:tr>
    </w:tbl>
    <w:p>
      <w:pPr>
        <w:spacing w:after="40"/>
      </w:pPr>
    </w:p>
    <w:p>
      <w:pPr>
        <w:spacing w:before="0" w:after="120" w:line="264" w:lineRule="auto"/>
      </w:pPr>
      <w:r>
        <w:rPr>
          <w:rFonts w:ascii="Calibri" w:hAnsi="Calibri"/>
          <w:b w:val="0"/>
          <w:i w:val="0"/>
          <w:color w:val="1F2937"/>
          <w:sz w:val="21"/>
        </w:rPr>
        <w:t>The strength model improves over the Dummy median baseline (MAE approximately 858 psi), so the batch fields contain some useful signal. However, the improvement is not strong enough to turn the model into a safe design optimizer. A low global average error would not be sufficient by itself; the high RMSE and P90 error show that some predictions can be wrong by a large amount.</w:t>
      </w:r>
    </w:p>
    <w:p>
      <w:pPr>
        <w:pStyle w:val="Heading1"/>
        <w:keepNext/>
      </w:pPr>
      <w:r>
        <w:t>3. Why Current IMTS Data Is Not Adequate for ML Mix Optimization</w:t>
      </w:r>
    </w:p>
    <w:p>
      <w:pPr>
        <w:pStyle w:val="Heading2"/>
        <w:keepNext/>
      </w:pPr>
      <w:r>
        <w:t>3.1 Optimization requires causal recipe information, not only correlation</w:t>
      </w:r>
    </w:p>
    <w:p>
      <w:pPr>
        <w:spacing w:before="0" w:after="120" w:line="264" w:lineRule="auto"/>
      </w:pPr>
      <w:r>
        <w:rPr>
          <w:rFonts w:ascii="Calibri" w:hAnsi="Calibri"/>
          <w:b w:val="0"/>
          <w:i w:val="0"/>
          <w:color w:val="1F2937"/>
          <w:sz w:val="21"/>
        </w:rPr>
        <w:t>A predictive model can learn that certain historical recipes were associated with higher strength. Mix optimization asks a harder question: what will happen if one material quantity is deliberately changed while the remaining materials, production process, and curing conditions are controlled? The present IMTS extract is observational. Differences between mixes can also reflect supplier practices, cement source, admixture products, project requirements, weather, testing practices, and other unrecorded factors.</w:t>
      </w:r>
    </w:p>
    <w:p>
      <w:pPr>
        <w:pStyle w:val="Heading2"/>
        <w:keepNext/>
      </w:pPr>
      <w:r>
        <w:t>3.2 Important material and production fields are absent or incomplete</w:t>
      </w:r>
    </w:p>
    <w:p>
      <w:pPr>
        <w:pStyle w:val="ListBullet"/>
        <w:spacing w:after="80" w:line="280" w:lineRule="auto"/>
      </w:pPr>
      <w:r>
        <w:rPr>
          <w:rFonts w:ascii="Calibri" w:hAnsi="Calibri"/>
          <w:b w:val="0"/>
          <w:i w:val="0"/>
          <w:color w:val="1F2937"/>
          <w:sz w:val="21"/>
        </w:rPr>
        <w:t>Cement type, cement source, and cement chemical or physical properties.</w:t>
      </w:r>
    </w:p>
    <w:p>
      <w:pPr>
        <w:pStyle w:val="ListBullet"/>
        <w:spacing w:after="80" w:line="280" w:lineRule="auto"/>
      </w:pPr>
      <w:r>
        <w:rPr>
          <w:rFonts w:ascii="Calibri" w:hAnsi="Calibri"/>
          <w:b w:val="0"/>
          <w:i w:val="0"/>
          <w:color w:val="1F2937"/>
          <w:sz w:val="21"/>
        </w:rPr>
        <w:t>Fly-ash class/source, slag and other supplementary cementitious materials.</w:t>
      </w:r>
    </w:p>
    <w:p>
      <w:pPr>
        <w:pStyle w:val="ListBullet"/>
        <w:spacing w:after="80" w:line="280" w:lineRule="auto"/>
      </w:pPr>
      <w:r>
        <w:rPr>
          <w:rFonts w:ascii="Calibri" w:hAnsi="Calibri"/>
          <w:b w:val="0"/>
          <w:i w:val="0"/>
          <w:color w:val="1F2937"/>
          <w:sz w:val="21"/>
        </w:rPr>
        <w:t>Chemical admixture product, type, and dosage; the existing admixture field is not sufficiently structured.</w:t>
      </w:r>
    </w:p>
    <w:p>
      <w:pPr>
        <w:pStyle w:val="ListBullet"/>
        <w:spacing w:after="80" w:line="280" w:lineRule="auto"/>
      </w:pPr>
      <w:r>
        <w:rPr>
          <w:rFonts w:ascii="Calibri" w:hAnsi="Calibri"/>
          <w:b w:val="0"/>
          <w:i w:val="0"/>
          <w:color w:val="1F2937"/>
          <w:sz w:val="21"/>
        </w:rPr>
        <w:t>Aggregate source, size, gradation, absorption, specific gravity, and shape characteristics.</w:t>
      </w:r>
    </w:p>
    <w:p>
      <w:pPr>
        <w:pStyle w:val="ListBullet"/>
        <w:spacing w:after="80" w:line="280" w:lineRule="auto"/>
      </w:pPr>
      <w:r>
        <w:rPr>
          <w:rFonts w:ascii="Calibri" w:hAnsi="Calibri"/>
          <w:b w:val="0"/>
          <w:i w:val="0"/>
          <w:color w:val="1F2937"/>
          <w:sz w:val="21"/>
        </w:rPr>
        <w:t>Reliable total/effective water calculation, including free moisture and all water adjustments.</w:t>
      </w:r>
    </w:p>
    <w:p>
      <w:pPr>
        <w:pStyle w:val="ListBullet"/>
        <w:spacing w:after="80" w:line="280" w:lineRule="auto"/>
      </w:pPr>
      <w:r>
        <w:rPr>
          <w:rFonts w:ascii="Calibri" w:hAnsi="Calibri"/>
          <w:b w:val="0"/>
          <w:i w:val="0"/>
          <w:color w:val="1F2937"/>
          <w:sz w:val="21"/>
        </w:rPr>
        <w:t>Material costs and approved material-specific emission factors for cost or carbon objectives.</w:t>
      </w:r>
    </w:p>
    <w:p>
      <w:pPr>
        <w:pStyle w:val="ListBullet"/>
        <w:spacing w:after="80" w:line="280" w:lineRule="auto"/>
      </w:pPr>
      <w:r>
        <w:rPr>
          <w:rFonts w:ascii="Calibri" w:hAnsi="Calibri"/>
          <w:b w:val="0"/>
          <w:i w:val="0"/>
          <w:color w:val="1F2937"/>
          <w:sz w:val="21"/>
        </w:rPr>
        <w:t>Mix-design revision/version and confirmation that the recorded batch is the approved design quantity.</w:t>
      </w:r>
    </w:p>
    <w:p>
      <w:pPr>
        <w:pStyle w:val="Heading2"/>
        <w:keepNext/>
      </w:pPr>
      <w:r>
        <w:t>3.3 The available batch records are sparse and heterogeneous</w:t>
      </w:r>
    </w:p>
    <w:p>
      <w:pPr>
        <w:spacing w:before="0" w:after="120" w:line="264" w:lineRule="auto"/>
      </w:pPr>
      <w:r>
        <w:rPr>
          <w:rFonts w:ascii="Calibri" w:hAnsi="Calibri"/>
          <w:b w:val="0"/>
          <w:i w:val="0"/>
          <w:color w:val="1F2937"/>
          <w:sz w:val="21"/>
        </w:rPr>
        <w:t>Only a minority of enterprise concrete tests contain usable batch information, and the complete modeling cohort is concentrated in a limited set of offices and suppliers. Combining different suppliers, plants, strength classes, specification ranges, and operational practices increases unexplained variation. A global model can therefore obscure useful local relationships.</w:t>
      </w:r>
    </w:p>
    <w:p>
      <w:pPr>
        <w:pStyle w:val="Heading2"/>
        <w:keepNext/>
      </w:pPr>
      <w:r>
        <w:t>3.4 Slump and air are downstream outcomes</w:t>
      </w:r>
    </w:p>
    <w:p>
      <w:pPr>
        <w:spacing w:before="0" w:after="120" w:line="264" w:lineRule="auto"/>
      </w:pPr>
      <w:r>
        <w:rPr>
          <w:rFonts w:ascii="Calibri" w:hAnsi="Calibri"/>
          <w:b w:val="0"/>
          <w:i w:val="0"/>
          <w:color w:val="1F2937"/>
          <w:sz w:val="21"/>
        </w:rPr>
        <w:t>Actual slump and air are measured after batching and transportation. They are affected by water addition, elapsed time, temperature, admixtures, truck mixing, and measurement conditions. They should be modeled as predicted constraints only when those upstream inputs are sufficiently recorded. The current slump model is weak, and the air model is moderate but still has a P90 error of about 2.2 percentage points.</w:t>
      </w:r>
    </w:p>
    <w:p>
      <w:pPr>
        <w:pStyle w:val="Heading2"/>
        <w:keepNext/>
      </w:pPr>
      <w:r>
        <w:t>3.5 Current candidate output is retrospective, not a new optimized design</w:t>
      </w:r>
    </w:p>
    <w:p>
      <w:pPr>
        <w:spacing w:before="0" w:after="120" w:line="264" w:lineRule="auto"/>
      </w:pPr>
      <w:r>
        <w:rPr>
          <w:rFonts w:ascii="Calibri" w:hAnsi="Calibri"/>
          <w:b w:val="0"/>
          <w:i w:val="0"/>
          <w:color w:val="1F2937"/>
          <w:sz w:val="21"/>
        </w:rPr>
        <w:t>The candidate-search script ranks historical test rows. It does not generate a validated new recipe. Repeated rows from mix 303425 show that this existing mix deserves closer analysis, but they do not establish how many pounds of cement can safely be removed. In addition, candidates from different required-strength classes and specifications should not be compared in one undifferentiated list.</w:t>
      </w:r>
    </w:p>
    <w:p>
      <w:pPr>
        <w:pStyle w:val="Heading1"/>
        <w:keepNext/>
      </w:pPr>
      <w:r>
        <w:t>4. What Would Be Needed to Improve ML-Based Optimization</w:t>
      </w:r>
    </w:p>
    <w:tbl>
      <w:tblPr>
        <w:tblStyle w:val="TableGrid"/>
        <w:tblW w:type="dxa" w:w="9360"/>
        <w:jc w:val="left"/>
        <w:tblLayout w:type="fixed"/>
        <w:tblLook w:firstColumn="1" w:firstRow="1" w:lastColumn="0" w:lastRow="0" w:noHBand="0" w:noVBand="1" w:val="04A0"/>
        <w:tblInd w:w="120" w:type="dxa"/>
      </w:tblPr>
      <w:tblGrid>
        <w:gridCol w:w="1750"/>
        <w:gridCol w:w="3850"/>
        <w:gridCol w:w="3760"/>
      </w:tblGrid>
      <w:tr>
        <w:tc>
          <w:tcPr>
            <w:tcW w:type="dxa" w:w="1750"/>
            <w:shd w:fill="F2F4F7"/>
            <w:tcMar>
              <w:top w:w="80" w:type="dxa"/>
              <w:start w:w="120" w:type="dxa"/>
              <w:bottom w:w="80" w:type="dxa"/>
              <w:end w:w="120" w:type="dxa"/>
            </w:tcMar>
            <w:vAlign w:val="center"/>
          </w:tcPr>
          <w:p>
            <w:pPr>
              <w:spacing w:after="0"/>
              <w:jc w:val="center"/>
            </w:pPr>
            <w:r>
              <w:rPr>
                <w:rFonts w:ascii="Calibri" w:hAnsi="Calibri"/>
                <w:b/>
                <w:i w:val="0"/>
                <w:color w:val="1F4D78"/>
                <w:sz w:val="18"/>
              </w:rPr>
              <w:t>Need</w:t>
            </w:r>
          </w:p>
        </w:tc>
        <w:tc>
          <w:tcPr>
            <w:tcW w:type="dxa" w:w="3850"/>
            <w:shd w:fill="F2F4F7"/>
            <w:tcMar>
              <w:top w:w="80" w:type="dxa"/>
              <w:start w:w="120" w:type="dxa"/>
              <w:bottom w:w="80" w:type="dxa"/>
              <w:end w:w="120" w:type="dxa"/>
            </w:tcMar>
            <w:vAlign w:val="center"/>
          </w:tcPr>
          <w:p>
            <w:pPr>
              <w:spacing w:after="0"/>
              <w:jc w:val="center"/>
            </w:pPr>
            <w:r>
              <w:rPr>
                <w:rFonts w:ascii="Calibri" w:hAnsi="Calibri"/>
                <w:b/>
                <w:i w:val="0"/>
                <w:color w:val="1F4D78"/>
                <w:sz w:val="18"/>
              </w:rPr>
              <w:t>Minimum improvement</w:t>
            </w:r>
          </w:p>
        </w:tc>
        <w:tc>
          <w:tcPr>
            <w:tcW w:type="dxa" w:w="3760"/>
            <w:shd w:fill="F2F4F7"/>
            <w:tcMar>
              <w:top w:w="80" w:type="dxa"/>
              <w:start w:w="120" w:type="dxa"/>
              <w:bottom w:w="80" w:type="dxa"/>
              <w:end w:w="120" w:type="dxa"/>
            </w:tcMar>
            <w:vAlign w:val="center"/>
          </w:tcPr>
          <w:p>
            <w:pPr>
              <w:spacing w:after="0"/>
              <w:jc w:val="center"/>
            </w:pPr>
            <w:r>
              <w:rPr>
                <w:rFonts w:ascii="Calibri" w:hAnsi="Calibri"/>
                <w:b/>
                <w:i w:val="0"/>
                <w:color w:val="1F4D78"/>
                <w:sz w:val="18"/>
              </w:rPr>
              <w:t>Why it matters</w:t>
            </w:r>
          </w:p>
        </w:tc>
      </w:tr>
      <w:tr>
        <w:tc>
          <w:tcPr>
            <w:tcW w:type="dxa" w:w="1750"/>
            <w:tcMar>
              <w:top w:w="80" w:type="dxa"/>
              <w:start w:w="120" w:type="dxa"/>
              <w:bottom w:w="80" w:type="dxa"/>
              <w:end w:w="120" w:type="dxa"/>
            </w:tcMar>
            <w:vAlign w:val="center"/>
          </w:tcPr>
          <w:p>
            <w:pPr>
              <w:spacing w:after="0"/>
              <w:jc w:val="left"/>
            </w:pPr>
            <w:r>
              <w:rPr>
                <w:rFonts w:ascii="Calibri" w:hAnsi="Calibri"/>
                <w:b w:val="0"/>
                <w:i w:val="0"/>
                <w:color w:val="1F2937"/>
                <w:sz w:val="18"/>
              </w:rPr>
              <w:t>Structured materials</w:t>
            </w:r>
          </w:p>
        </w:tc>
        <w:tc>
          <w:tcPr>
            <w:tcW w:type="dxa" w:w="3850"/>
            <w:tcMar>
              <w:top w:w="80" w:type="dxa"/>
              <w:start w:w="120" w:type="dxa"/>
              <w:bottom w:w="80" w:type="dxa"/>
              <w:end w:w="120" w:type="dxa"/>
            </w:tcMar>
            <w:vAlign w:val="center"/>
          </w:tcPr>
          <w:p>
            <w:pPr>
              <w:spacing w:after="0"/>
              <w:jc w:val="left"/>
            </w:pPr>
            <w:r>
              <w:rPr>
                <w:rFonts w:ascii="Calibri" w:hAnsi="Calibri"/>
                <w:b w:val="0"/>
                <w:i w:val="0"/>
                <w:color w:val="1F2937"/>
                <w:sz w:val="18"/>
              </w:rPr>
              <w:t>Cement/SCM/admixture product IDs, types, sources, dosages</w:t>
            </w:r>
          </w:p>
        </w:tc>
        <w:tc>
          <w:tcPr>
            <w:tcW w:type="dxa" w:w="3760"/>
            <w:tcMar>
              <w:top w:w="80" w:type="dxa"/>
              <w:start w:w="120" w:type="dxa"/>
              <w:bottom w:w="80" w:type="dxa"/>
              <w:end w:w="120" w:type="dxa"/>
            </w:tcMar>
            <w:vAlign w:val="center"/>
          </w:tcPr>
          <w:p>
            <w:pPr>
              <w:spacing w:after="0"/>
              <w:jc w:val="left"/>
            </w:pPr>
            <w:r>
              <w:rPr>
                <w:rFonts w:ascii="Calibri" w:hAnsi="Calibri"/>
                <w:b w:val="0"/>
                <w:i w:val="0"/>
                <w:color w:val="1F2937"/>
                <w:sz w:val="18"/>
              </w:rPr>
              <w:t>Separates material chemistry and supplier effects</w:t>
            </w:r>
          </w:p>
        </w:tc>
      </w:tr>
      <w:tr>
        <w:tc>
          <w:tcPr>
            <w:tcW w:type="dxa" w:w="1750"/>
            <w:tcMar>
              <w:top w:w="80" w:type="dxa"/>
              <w:start w:w="120" w:type="dxa"/>
              <w:bottom w:w="80" w:type="dxa"/>
              <w:end w:w="120" w:type="dxa"/>
            </w:tcMar>
            <w:vAlign w:val="center"/>
          </w:tcPr>
          <w:p>
            <w:pPr>
              <w:spacing w:after="0"/>
              <w:jc w:val="left"/>
            </w:pPr>
            <w:r>
              <w:rPr>
                <w:rFonts w:ascii="Calibri" w:hAnsi="Calibri"/>
                <w:b w:val="0"/>
                <w:i w:val="0"/>
                <w:color w:val="1F2937"/>
                <w:sz w:val="18"/>
              </w:rPr>
              <w:t>Water accounting</w:t>
            </w:r>
          </w:p>
        </w:tc>
        <w:tc>
          <w:tcPr>
            <w:tcW w:type="dxa" w:w="3850"/>
            <w:tcMar>
              <w:top w:w="80" w:type="dxa"/>
              <w:start w:w="120" w:type="dxa"/>
              <w:bottom w:w="80" w:type="dxa"/>
              <w:end w:w="120" w:type="dxa"/>
            </w:tcMar>
            <w:vAlign w:val="center"/>
          </w:tcPr>
          <w:p>
            <w:pPr>
              <w:spacing w:after="0"/>
              <w:jc w:val="left"/>
            </w:pPr>
            <w:r>
              <w:rPr>
                <w:rFonts w:ascii="Calibri" w:hAnsi="Calibri"/>
                <w:b w:val="0"/>
                <w:i w:val="0"/>
                <w:color w:val="1F2937"/>
                <w:sz w:val="18"/>
              </w:rPr>
              <w:t>Batch water, free moisture, water added, effective water</w:t>
            </w:r>
          </w:p>
        </w:tc>
        <w:tc>
          <w:tcPr>
            <w:tcW w:type="dxa" w:w="3760"/>
            <w:tcMar>
              <w:top w:w="80" w:type="dxa"/>
              <w:start w:w="120" w:type="dxa"/>
              <w:bottom w:w="80" w:type="dxa"/>
              <w:end w:w="120" w:type="dxa"/>
            </w:tcMar>
            <w:vAlign w:val="center"/>
          </w:tcPr>
          <w:p>
            <w:pPr>
              <w:spacing w:after="0"/>
              <w:jc w:val="left"/>
            </w:pPr>
            <w:r>
              <w:rPr>
                <w:rFonts w:ascii="Calibri" w:hAnsi="Calibri"/>
                <w:b w:val="0"/>
                <w:i w:val="0"/>
                <w:color w:val="1F2937"/>
                <w:sz w:val="18"/>
              </w:rPr>
              <w:t>Makes W/CM physically meaningful</w:t>
            </w:r>
          </w:p>
        </w:tc>
      </w:tr>
      <w:tr>
        <w:tc>
          <w:tcPr>
            <w:tcW w:type="dxa" w:w="1750"/>
            <w:tcMar>
              <w:top w:w="80" w:type="dxa"/>
              <w:start w:w="120" w:type="dxa"/>
              <w:bottom w:w="80" w:type="dxa"/>
              <w:end w:w="120" w:type="dxa"/>
            </w:tcMar>
            <w:vAlign w:val="center"/>
          </w:tcPr>
          <w:p>
            <w:pPr>
              <w:spacing w:after="0"/>
              <w:jc w:val="left"/>
            </w:pPr>
            <w:r>
              <w:rPr>
                <w:rFonts w:ascii="Calibri" w:hAnsi="Calibri"/>
                <w:b w:val="0"/>
                <w:i w:val="0"/>
                <w:color w:val="1F2937"/>
                <w:sz w:val="18"/>
              </w:rPr>
              <w:t>Aggregate properties</w:t>
            </w:r>
          </w:p>
        </w:tc>
        <w:tc>
          <w:tcPr>
            <w:tcW w:type="dxa" w:w="3850"/>
            <w:tcMar>
              <w:top w:w="80" w:type="dxa"/>
              <w:start w:w="120" w:type="dxa"/>
              <w:bottom w:w="80" w:type="dxa"/>
              <w:end w:w="120" w:type="dxa"/>
            </w:tcMar>
            <w:vAlign w:val="center"/>
          </w:tcPr>
          <w:p>
            <w:pPr>
              <w:spacing w:after="0"/>
              <w:jc w:val="left"/>
            </w:pPr>
            <w:r>
              <w:rPr>
                <w:rFonts w:ascii="Calibri" w:hAnsi="Calibri"/>
                <w:b w:val="0"/>
                <w:i w:val="0"/>
                <w:color w:val="1F2937"/>
                <w:sz w:val="18"/>
              </w:rPr>
              <w:t>Source, gradation, absorption, specific gravity</w:t>
            </w:r>
          </w:p>
        </w:tc>
        <w:tc>
          <w:tcPr>
            <w:tcW w:type="dxa" w:w="3760"/>
            <w:tcMar>
              <w:top w:w="80" w:type="dxa"/>
              <w:start w:w="120" w:type="dxa"/>
              <w:bottom w:w="80" w:type="dxa"/>
              <w:end w:w="120" w:type="dxa"/>
            </w:tcMar>
            <w:vAlign w:val="center"/>
          </w:tcPr>
          <w:p>
            <w:pPr>
              <w:spacing w:after="0"/>
              <w:jc w:val="left"/>
            </w:pPr>
            <w:r>
              <w:rPr>
                <w:rFonts w:ascii="Calibri" w:hAnsi="Calibri"/>
                <w:b w:val="0"/>
                <w:i w:val="0"/>
                <w:color w:val="1F2937"/>
                <w:sz w:val="18"/>
              </w:rPr>
              <w:t>Explains water demand and strength variability</w:t>
            </w:r>
          </w:p>
        </w:tc>
      </w:tr>
      <w:tr>
        <w:tc>
          <w:tcPr>
            <w:tcW w:type="dxa" w:w="1750"/>
            <w:tcMar>
              <w:top w:w="80" w:type="dxa"/>
              <w:start w:w="120" w:type="dxa"/>
              <w:bottom w:w="80" w:type="dxa"/>
              <w:end w:w="120" w:type="dxa"/>
            </w:tcMar>
            <w:vAlign w:val="center"/>
          </w:tcPr>
          <w:p>
            <w:pPr>
              <w:spacing w:after="0"/>
              <w:jc w:val="left"/>
            </w:pPr>
            <w:r>
              <w:rPr>
                <w:rFonts w:ascii="Calibri" w:hAnsi="Calibri"/>
                <w:b w:val="0"/>
                <w:i w:val="0"/>
                <w:color w:val="1F2937"/>
                <w:sz w:val="18"/>
              </w:rPr>
              <w:t>Design identity</w:t>
            </w:r>
          </w:p>
        </w:tc>
        <w:tc>
          <w:tcPr>
            <w:tcW w:type="dxa" w:w="3850"/>
            <w:tcMar>
              <w:top w:w="80" w:type="dxa"/>
              <w:start w:w="120" w:type="dxa"/>
              <w:bottom w:w="80" w:type="dxa"/>
              <w:end w:w="120" w:type="dxa"/>
            </w:tcMar>
            <w:vAlign w:val="center"/>
          </w:tcPr>
          <w:p>
            <w:pPr>
              <w:spacing w:after="0"/>
              <w:jc w:val="left"/>
            </w:pPr>
            <w:r>
              <w:rPr>
                <w:rFonts w:ascii="Calibri" w:hAnsi="Calibri"/>
                <w:b w:val="0"/>
                <w:i w:val="0"/>
                <w:color w:val="1F2937"/>
                <w:sz w:val="18"/>
              </w:rPr>
              <w:t>Approved mix version and effective dates</w:t>
            </w:r>
          </w:p>
        </w:tc>
        <w:tc>
          <w:tcPr>
            <w:tcW w:type="dxa" w:w="3760"/>
            <w:tcMar>
              <w:top w:w="80" w:type="dxa"/>
              <w:start w:w="120" w:type="dxa"/>
              <w:bottom w:w="80" w:type="dxa"/>
              <w:end w:w="120" w:type="dxa"/>
            </w:tcMar>
            <w:vAlign w:val="center"/>
          </w:tcPr>
          <w:p>
            <w:pPr>
              <w:spacing w:after="0"/>
              <w:jc w:val="left"/>
            </w:pPr>
            <w:r>
              <w:rPr>
                <w:rFonts w:ascii="Calibri" w:hAnsi="Calibri"/>
                <w:b w:val="0"/>
                <w:i w:val="0"/>
                <w:color w:val="1F2937"/>
                <w:sz w:val="18"/>
              </w:rPr>
              <w:t>Prevents combining materially different revisions</w:t>
            </w:r>
          </w:p>
        </w:tc>
      </w:tr>
      <w:tr>
        <w:tc>
          <w:tcPr>
            <w:tcW w:type="dxa" w:w="1750"/>
            <w:tcMar>
              <w:top w:w="80" w:type="dxa"/>
              <w:start w:w="120" w:type="dxa"/>
              <w:bottom w:w="80" w:type="dxa"/>
              <w:end w:w="120" w:type="dxa"/>
            </w:tcMar>
            <w:vAlign w:val="center"/>
          </w:tcPr>
          <w:p>
            <w:pPr>
              <w:spacing w:after="0"/>
              <w:jc w:val="left"/>
            </w:pPr>
            <w:r>
              <w:rPr>
                <w:rFonts w:ascii="Calibri" w:hAnsi="Calibri"/>
                <w:b w:val="0"/>
                <w:i w:val="0"/>
                <w:color w:val="1F2937"/>
                <w:sz w:val="18"/>
              </w:rPr>
              <w:t>Objectives</w:t>
            </w:r>
          </w:p>
        </w:tc>
        <w:tc>
          <w:tcPr>
            <w:tcW w:type="dxa" w:w="3850"/>
            <w:tcMar>
              <w:top w:w="80" w:type="dxa"/>
              <w:start w:w="120" w:type="dxa"/>
              <w:bottom w:w="80" w:type="dxa"/>
              <w:end w:w="120" w:type="dxa"/>
            </w:tcMar>
            <w:vAlign w:val="center"/>
          </w:tcPr>
          <w:p>
            <w:pPr>
              <w:spacing w:after="0"/>
              <w:jc w:val="left"/>
            </w:pPr>
            <w:r>
              <w:rPr>
                <w:rFonts w:ascii="Calibri" w:hAnsi="Calibri"/>
                <w:b w:val="0"/>
                <w:i w:val="0"/>
                <w:color w:val="1F2937"/>
                <w:sz w:val="18"/>
              </w:rPr>
              <w:t>Material costs and approved emission factors</w:t>
            </w:r>
          </w:p>
        </w:tc>
        <w:tc>
          <w:tcPr>
            <w:tcW w:type="dxa" w:w="3760"/>
            <w:tcMar>
              <w:top w:w="80" w:type="dxa"/>
              <w:start w:w="120" w:type="dxa"/>
              <w:bottom w:w="80" w:type="dxa"/>
              <w:end w:w="120" w:type="dxa"/>
            </w:tcMar>
            <w:vAlign w:val="center"/>
          </w:tcPr>
          <w:p>
            <w:pPr>
              <w:spacing w:after="0"/>
              <w:jc w:val="left"/>
            </w:pPr>
            <w:r>
              <w:rPr>
                <w:rFonts w:ascii="Calibri" w:hAnsi="Calibri"/>
                <w:b w:val="0"/>
                <w:i w:val="0"/>
                <w:color w:val="1F2937"/>
                <w:sz w:val="18"/>
              </w:rPr>
              <w:t>Enables true cost/carbon optimization</w:t>
            </w:r>
          </w:p>
        </w:tc>
      </w:tr>
      <w:tr>
        <w:tc>
          <w:tcPr>
            <w:tcW w:type="dxa" w:w="1750"/>
            <w:tcMar>
              <w:top w:w="80" w:type="dxa"/>
              <w:start w:w="120" w:type="dxa"/>
              <w:bottom w:w="80" w:type="dxa"/>
              <w:end w:w="120" w:type="dxa"/>
            </w:tcMar>
            <w:vAlign w:val="center"/>
          </w:tcPr>
          <w:p>
            <w:pPr>
              <w:spacing w:after="0"/>
              <w:jc w:val="left"/>
            </w:pPr>
            <w:r>
              <w:rPr>
                <w:rFonts w:ascii="Calibri" w:hAnsi="Calibri"/>
                <w:b w:val="0"/>
                <w:i w:val="0"/>
                <w:color w:val="1F2937"/>
                <w:sz w:val="18"/>
              </w:rPr>
              <w:t>Local coverage</w:t>
            </w:r>
          </w:p>
        </w:tc>
        <w:tc>
          <w:tcPr>
            <w:tcW w:type="dxa" w:w="3850"/>
            <w:tcMar>
              <w:top w:w="80" w:type="dxa"/>
              <w:start w:w="120" w:type="dxa"/>
              <w:bottom w:w="80" w:type="dxa"/>
              <w:end w:w="120" w:type="dxa"/>
            </w:tcMar>
            <w:vAlign w:val="center"/>
          </w:tcPr>
          <w:p>
            <w:pPr>
              <w:spacing w:after="0"/>
              <w:jc w:val="left"/>
            </w:pPr>
            <w:r>
              <w:rPr>
                <w:rFonts w:ascii="Calibri" w:hAnsi="Calibri"/>
                <w:b w:val="0"/>
                <w:i w:val="0"/>
                <w:color w:val="1F2937"/>
                <w:sz w:val="18"/>
              </w:rPr>
              <w:t>Repeated complete records by plant and mix</w:t>
            </w:r>
          </w:p>
        </w:tc>
        <w:tc>
          <w:tcPr>
            <w:tcW w:type="dxa" w:w="3760"/>
            <w:tcMar>
              <w:top w:w="80" w:type="dxa"/>
              <w:start w:w="120" w:type="dxa"/>
              <w:bottom w:w="80" w:type="dxa"/>
              <w:end w:w="120" w:type="dxa"/>
            </w:tcMar>
            <w:vAlign w:val="center"/>
          </w:tcPr>
          <w:p>
            <w:pPr>
              <w:spacing w:after="0"/>
              <w:jc w:val="left"/>
            </w:pPr>
            <w:r>
              <w:rPr>
                <w:rFonts w:ascii="Calibri" w:hAnsi="Calibri"/>
                <w:b w:val="0"/>
                <w:i w:val="0"/>
                <w:color w:val="1F2937"/>
                <w:sz w:val="18"/>
              </w:rPr>
              <w:t>Supports plant-specific validation</w:t>
            </w:r>
          </w:p>
        </w:tc>
      </w:tr>
      <w:tr>
        <w:tc>
          <w:tcPr>
            <w:tcW w:type="dxa" w:w="1750"/>
            <w:tcMar>
              <w:top w:w="80" w:type="dxa"/>
              <w:start w:w="120" w:type="dxa"/>
              <w:bottom w:w="80" w:type="dxa"/>
              <w:end w:w="120" w:type="dxa"/>
            </w:tcMar>
            <w:vAlign w:val="center"/>
          </w:tcPr>
          <w:p>
            <w:pPr>
              <w:spacing w:after="0"/>
              <w:jc w:val="left"/>
            </w:pPr>
            <w:r>
              <w:rPr>
                <w:rFonts w:ascii="Calibri" w:hAnsi="Calibri"/>
                <w:b w:val="0"/>
                <w:i w:val="0"/>
                <w:color w:val="1F2937"/>
                <w:sz w:val="18"/>
              </w:rPr>
              <w:t>Validation</w:t>
            </w:r>
          </w:p>
        </w:tc>
        <w:tc>
          <w:tcPr>
            <w:tcW w:type="dxa" w:w="3850"/>
            <w:tcMar>
              <w:top w:w="80" w:type="dxa"/>
              <w:start w:w="120" w:type="dxa"/>
              <w:bottom w:w="80" w:type="dxa"/>
              <w:end w:w="120" w:type="dxa"/>
            </w:tcMar>
            <w:vAlign w:val="center"/>
          </w:tcPr>
          <w:p>
            <w:pPr>
              <w:spacing w:after="0"/>
              <w:jc w:val="left"/>
            </w:pPr>
            <w:r>
              <w:rPr>
                <w:rFonts w:ascii="Calibri" w:hAnsi="Calibri"/>
                <w:b w:val="0"/>
                <w:i w:val="0"/>
                <w:color w:val="1F2937"/>
                <w:sz w:val="18"/>
              </w:rPr>
              <w:t>Out-of-time and held-out plant/office tests</w:t>
            </w:r>
          </w:p>
        </w:tc>
        <w:tc>
          <w:tcPr>
            <w:tcW w:type="dxa" w:w="3760"/>
            <w:tcMar>
              <w:top w:w="80" w:type="dxa"/>
              <w:start w:w="120" w:type="dxa"/>
              <w:bottom w:w="80" w:type="dxa"/>
              <w:end w:w="120" w:type="dxa"/>
            </w:tcMar>
            <w:vAlign w:val="center"/>
          </w:tcPr>
          <w:p>
            <w:pPr>
              <w:spacing w:after="0"/>
              <w:jc w:val="left"/>
            </w:pPr>
            <w:r>
              <w:rPr>
                <w:rFonts w:ascii="Calibri" w:hAnsi="Calibri"/>
                <w:b w:val="0"/>
                <w:i w:val="0"/>
                <w:color w:val="1F2937"/>
                <w:sz w:val="18"/>
              </w:rPr>
              <w:t>Checks performance on future and unseen operations</w:t>
            </w:r>
          </w:p>
        </w:tc>
      </w:tr>
      <w:tr>
        <w:tc>
          <w:tcPr>
            <w:tcW w:type="dxa" w:w="1750"/>
            <w:tcMar>
              <w:top w:w="80" w:type="dxa"/>
              <w:start w:w="120" w:type="dxa"/>
              <w:bottom w:w="80" w:type="dxa"/>
              <w:end w:w="120" w:type="dxa"/>
            </w:tcMar>
            <w:vAlign w:val="center"/>
          </w:tcPr>
          <w:p>
            <w:pPr>
              <w:spacing w:after="0"/>
              <w:jc w:val="left"/>
            </w:pPr>
            <w:r>
              <w:rPr>
                <w:rFonts w:ascii="Calibri" w:hAnsi="Calibri"/>
                <w:b w:val="0"/>
                <w:i w:val="0"/>
                <w:color w:val="1F2937"/>
                <w:sz w:val="18"/>
              </w:rPr>
              <w:t>Field trials</w:t>
            </w:r>
          </w:p>
        </w:tc>
        <w:tc>
          <w:tcPr>
            <w:tcW w:type="dxa" w:w="3850"/>
            <w:tcMar>
              <w:top w:w="80" w:type="dxa"/>
              <w:start w:w="120" w:type="dxa"/>
              <w:bottom w:w="80" w:type="dxa"/>
              <w:end w:w="120" w:type="dxa"/>
            </w:tcMar>
            <w:vAlign w:val="center"/>
          </w:tcPr>
          <w:p>
            <w:pPr>
              <w:spacing w:after="0"/>
              <w:jc w:val="left"/>
            </w:pPr>
            <w:r>
              <w:rPr>
                <w:rFonts w:ascii="Calibri" w:hAnsi="Calibri"/>
                <w:b w:val="0"/>
                <w:i w:val="0"/>
                <w:color w:val="1F2937"/>
                <w:sz w:val="18"/>
              </w:rPr>
              <w:t>Engineer-approved trial batches after recommendation</w:t>
            </w:r>
          </w:p>
        </w:tc>
        <w:tc>
          <w:tcPr>
            <w:tcW w:type="dxa" w:w="3760"/>
            <w:tcMar>
              <w:top w:w="80" w:type="dxa"/>
              <w:start w:w="120" w:type="dxa"/>
              <w:bottom w:w="80" w:type="dxa"/>
              <w:end w:w="120" w:type="dxa"/>
            </w:tcMar>
            <w:vAlign w:val="center"/>
          </w:tcPr>
          <w:p>
            <w:pPr>
              <w:spacing w:after="0"/>
              <w:jc w:val="left"/>
            </w:pPr>
            <w:r>
              <w:rPr>
                <w:rFonts w:ascii="Calibri" w:hAnsi="Calibri"/>
                <w:b w:val="0"/>
                <w:i w:val="0"/>
                <w:color w:val="1F2937"/>
                <w:sz w:val="18"/>
              </w:rPr>
              <w:t>Confirms safety before operational use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40"/>
            </w:pPr>
            <w:r>
              <w:rPr>
                <w:rFonts w:ascii="Calibri" w:hAnsi="Calibri"/>
                <w:b/>
                <w:i w:val="0"/>
                <w:color w:val="7A5A00"/>
                <w:sz w:val="21"/>
              </w:rPr>
              <w:t xml:space="preserve">Minimum gate for future optimization  </w:t>
            </w:r>
            <w:r>
              <w:rPr>
                <w:rFonts w:ascii="Calibri" w:hAnsi="Calibri"/>
                <w:b w:val="0"/>
                <w:i w:val="0"/>
                <w:color w:val="1F2937"/>
                <w:sz w:val="21"/>
              </w:rPr>
              <w:t>The strength surrogate should materially beat the Dummy baseline and maintain acceptable error on recent out-of-time data and held-out plants. Model quality alone is not enough; candidate recipes must also remain inside observed material ranges and pass engineering trial validation.</w:t>
            </w:r>
          </w:p>
        </w:tc>
      </w:tr>
    </w:tbl>
    <w:p>
      <w:pPr>
        <w:spacing w:after="40"/>
      </w:pPr>
    </w:p>
    <w:p>
      <w:pPr>
        <w:pStyle w:val="Heading1"/>
        <w:keepNext/>
      </w:pPr>
      <w:r>
        <w:t>5. Recommended Next Step: Historical Mix Performance Analysis</w:t>
      </w:r>
    </w:p>
    <w:p>
      <w:pPr>
        <w:spacing w:before="0" w:after="120" w:line="264" w:lineRule="auto"/>
      </w:pPr>
      <w:r>
        <w:rPr>
          <w:rFonts w:ascii="Calibri" w:hAnsi="Calibri"/>
          <w:b w:val="0"/>
          <w:i w:val="0"/>
          <w:color w:val="1F2937"/>
          <w:sz w:val="21"/>
        </w:rPr>
        <w:t>Historical Mix Performance Analysis changes the question from “What new recipe should the model create?” to “Which existing mixes have demonstrated stable, specification-compliant performance and may deserve engineering review?” This approach relies mainly on actual test results and transparent statistics rather than a weak strength surrogate.</w:t>
      </w:r>
    </w:p>
    <w:p>
      <w:pPr>
        <w:pStyle w:val="Heading2"/>
        <w:keepNext/>
      </w:pPr>
      <w:r>
        <w:t>5.1 Unit of analysis</w:t>
      </w:r>
    </w:p>
    <w:p>
      <w:pPr>
        <w:spacing w:before="0" w:after="120" w:line="264" w:lineRule="auto"/>
      </w:pPr>
      <w:r>
        <w:rPr>
          <w:rFonts w:ascii="Calibri" w:hAnsi="Calibri"/>
          <w:b w:val="0"/>
          <w:i w:val="0"/>
          <w:color w:val="1F2937"/>
          <w:sz w:val="21"/>
        </w:rPr>
        <w:t>Create one summary row for each comparable mix group. The primary grouping should be:</w:t>
      </w:r>
    </w:p>
    <w:p>
      <w:pPr>
        <w:pStyle w:val="ListBullet"/>
        <w:spacing w:after="80" w:line="280" w:lineRule="auto"/>
      </w:pPr>
      <w:r>
        <w:rPr>
          <w:rFonts w:ascii="Calibri" w:hAnsi="Calibri"/>
          <w:b w:val="0"/>
          <w:i w:val="0"/>
          <w:color w:val="1F2937"/>
          <w:sz w:val="21"/>
        </w:rPr>
        <w:t>Office → supplier → plant → mix number.</w:t>
      </w:r>
    </w:p>
    <w:p>
      <w:pPr>
        <w:pStyle w:val="ListBullet"/>
        <w:spacing w:after="80" w:line="280" w:lineRule="auto"/>
      </w:pPr>
      <w:r>
        <w:rPr>
          <w:rFonts w:ascii="Calibri" w:hAnsi="Calibri"/>
          <w:b w:val="0"/>
          <w:i w:val="0"/>
          <w:color w:val="1F2937"/>
          <w:sz w:val="21"/>
        </w:rPr>
        <w:t>Required 28-day strength class.</w:t>
      </w:r>
    </w:p>
    <w:p>
      <w:pPr>
        <w:pStyle w:val="ListBullet"/>
        <w:spacing w:after="80" w:line="280" w:lineRule="auto"/>
      </w:pPr>
      <w:r>
        <w:rPr>
          <w:rFonts w:ascii="Calibri" w:hAnsi="Calibri"/>
          <w:b w:val="0"/>
          <w:i w:val="0"/>
          <w:color w:val="1F2937"/>
          <w:sz w:val="21"/>
        </w:rPr>
        <w:t>Applicable slump and air specification ranges when available.</w:t>
      </w:r>
    </w:p>
    <w:p>
      <w:pPr>
        <w:pStyle w:val="ListBullet"/>
        <w:spacing w:after="80" w:line="280" w:lineRule="auto"/>
      </w:pPr>
      <w:r>
        <w:rPr>
          <w:rFonts w:ascii="Calibri" w:hAnsi="Calibri"/>
          <w:b w:val="0"/>
          <w:i w:val="0"/>
          <w:color w:val="1F2937"/>
          <w:sz w:val="21"/>
        </w:rPr>
        <w:t>Mix-design revision/effective period if a reliable revision identifier can be obtained.</w:t>
      </w:r>
    </w:p>
    <w:p>
      <w:pPr>
        <w:pStyle w:val="ListBullet"/>
        <w:spacing w:after="80" w:line="280" w:lineRule="auto"/>
      </w:pPr>
      <w:r>
        <w:rPr>
          <w:rFonts w:ascii="Calibri" w:hAnsi="Calibri"/>
          <w:b w:val="0"/>
          <w:i w:val="0"/>
          <w:color w:val="1F2937"/>
          <w:sz w:val="21"/>
        </w:rPr>
        <w:t>A recent analysis window (for example, the latest 18 months) plus an all-history reference.</w:t>
      </w:r>
    </w:p>
    <w:p>
      <w:pPr>
        <w:spacing w:before="0" w:after="120" w:line="264" w:lineRule="auto"/>
      </w:pPr>
      <w:r>
        <w:rPr>
          <w:rFonts w:ascii="Calibri" w:hAnsi="Calibri"/>
          <w:b w:val="0"/>
          <w:i w:val="0"/>
          <w:color w:val="1F2937"/>
          <w:sz w:val="21"/>
        </w:rPr>
        <w:t>Do not combine the same mix number across materially different suppliers, plants, required strengths, or specification ranges. Normalize aliases such as Duke City and Duke City Redi-Mix only after confirming they represent the same business/material source.</w:t>
      </w:r>
    </w:p>
    <w:p>
      <w:pPr>
        <w:pStyle w:val="Heading2"/>
        <w:keepNext/>
      </w:pPr>
      <w:r>
        <w:t>5.2 Required metrics for each group</w:t>
      </w:r>
    </w:p>
    <w:tbl>
      <w:tblPr>
        <w:tblStyle w:val="TableGrid"/>
        <w:tblW w:type="dxa" w:w="9360"/>
        <w:jc w:val="left"/>
        <w:tblLayout w:type="fixed"/>
        <w:tblLook w:firstColumn="1" w:firstRow="1" w:lastColumn="0" w:lastRow="0" w:noHBand="0" w:noVBand="1" w:val="04A0"/>
        <w:tblInd w:w="120" w:type="dxa"/>
      </w:tblPr>
      <w:tblGrid>
        <w:gridCol w:w="1500"/>
        <w:gridCol w:w="4650"/>
        <w:gridCol w:w="3210"/>
      </w:tblGrid>
      <w:tr>
        <w:tc>
          <w:tcPr>
            <w:tcW w:type="dxa" w:w="1500"/>
            <w:shd w:fill="F2F4F7"/>
            <w:tcMar>
              <w:top w:w="80" w:type="dxa"/>
              <w:start w:w="120" w:type="dxa"/>
              <w:bottom w:w="80" w:type="dxa"/>
              <w:end w:w="120" w:type="dxa"/>
            </w:tcMar>
            <w:vAlign w:val="center"/>
          </w:tcPr>
          <w:p>
            <w:pPr>
              <w:spacing w:after="0"/>
              <w:jc w:val="center"/>
            </w:pPr>
            <w:r>
              <w:rPr>
                <w:rFonts w:ascii="Calibri" w:hAnsi="Calibri"/>
                <w:b/>
                <w:i w:val="0"/>
                <w:color w:val="1F4D78"/>
                <w:sz w:val="18"/>
              </w:rPr>
              <w:t>Category</w:t>
            </w:r>
          </w:p>
        </w:tc>
        <w:tc>
          <w:tcPr>
            <w:tcW w:type="dxa" w:w="4650"/>
            <w:shd w:fill="F2F4F7"/>
            <w:tcMar>
              <w:top w:w="80" w:type="dxa"/>
              <w:start w:w="120" w:type="dxa"/>
              <w:bottom w:w="80" w:type="dxa"/>
              <w:end w:w="120" w:type="dxa"/>
            </w:tcMar>
            <w:vAlign w:val="center"/>
          </w:tcPr>
          <w:p>
            <w:pPr>
              <w:spacing w:after="0"/>
              <w:jc w:val="center"/>
            </w:pPr>
            <w:r>
              <w:rPr>
                <w:rFonts w:ascii="Calibri" w:hAnsi="Calibri"/>
                <w:b/>
                <w:i w:val="0"/>
                <w:color w:val="1F4D78"/>
                <w:sz w:val="18"/>
              </w:rPr>
              <w:t>Metrics</w:t>
            </w:r>
          </w:p>
        </w:tc>
        <w:tc>
          <w:tcPr>
            <w:tcW w:type="dxa" w:w="3210"/>
            <w:shd w:fill="F2F4F7"/>
            <w:tcMar>
              <w:top w:w="80" w:type="dxa"/>
              <w:start w:w="120" w:type="dxa"/>
              <w:bottom w:w="80" w:type="dxa"/>
              <w:end w:w="120" w:type="dxa"/>
            </w:tcMar>
            <w:vAlign w:val="center"/>
          </w:tcPr>
          <w:p>
            <w:pPr>
              <w:spacing w:after="0"/>
              <w:jc w:val="center"/>
            </w:pPr>
            <w:r>
              <w:rPr>
                <w:rFonts w:ascii="Calibri" w:hAnsi="Calibri"/>
                <w:b/>
                <w:i w:val="0"/>
                <w:color w:val="1F4D78"/>
                <w:sz w:val="18"/>
              </w:rPr>
              <w:t>Purpose</w:t>
            </w:r>
          </w:p>
        </w:tc>
      </w:tr>
      <w:tr>
        <w:tc>
          <w:tcPr>
            <w:tcW w:type="dxa" w:w="1500"/>
            <w:tcMar>
              <w:top w:w="80" w:type="dxa"/>
              <w:start w:w="120" w:type="dxa"/>
              <w:bottom w:w="80" w:type="dxa"/>
              <w:end w:w="120" w:type="dxa"/>
            </w:tcMar>
            <w:vAlign w:val="center"/>
          </w:tcPr>
          <w:p>
            <w:pPr>
              <w:spacing w:after="0"/>
              <w:jc w:val="left"/>
            </w:pPr>
            <w:r>
              <w:rPr>
                <w:rFonts w:ascii="Calibri" w:hAnsi="Calibri"/>
                <w:b w:val="0"/>
                <w:i w:val="0"/>
                <w:color w:val="1F2937"/>
                <w:sz w:val="18"/>
              </w:rPr>
              <w:t>Coverage</w:t>
            </w:r>
          </w:p>
        </w:tc>
        <w:tc>
          <w:tcPr>
            <w:tcW w:type="dxa" w:w="4650"/>
            <w:tcMar>
              <w:top w:w="80" w:type="dxa"/>
              <w:start w:w="120" w:type="dxa"/>
              <w:bottom w:w="80" w:type="dxa"/>
              <w:end w:w="120" w:type="dxa"/>
            </w:tcMar>
            <w:vAlign w:val="center"/>
          </w:tcPr>
          <w:p>
            <w:pPr>
              <w:spacing w:after="0"/>
              <w:jc w:val="left"/>
            </w:pPr>
            <w:r>
              <w:rPr>
                <w:rFonts w:ascii="Calibri" w:hAnsi="Calibri"/>
                <w:b w:val="0"/>
                <w:i w:val="0"/>
                <w:color w:val="1F2937"/>
                <w:sz w:val="18"/>
              </w:rPr>
              <w:t>Test count, date range, months with data</w:t>
            </w:r>
          </w:p>
        </w:tc>
        <w:tc>
          <w:tcPr>
            <w:tcW w:type="dxa" w:w="3210"/>
            <w:tcMar>
              <w:top w:w="80" w:type="dxa"/>
              <w:start w:w="120" w:type="dxa"/>
              <w:bottom w:w="80" w:type="dxa"/>
              <w:end w:w="120" w:type="dxa"/>
            </w:tcMar>
            <w:vAlign w:val="center"/>
          </w:tcPr>
          <w:p>
            <w:pPr>
              <w:spacing w:after="0"/>
              <w:jc w:val="left"/>
            </w:pPr>
            <w:r>
              <w:rPr>
                <w:rFonts w:ascii="Calibri" w:hAnsi="Calibri"/>
                <w:b w:val="0"/>
                <w:i w:val="0"/>
                <w:color w:val="1F2937"/>
                <w:sz w:val="18"/>
              </w:rPr>
              <w:t>Shows whether evidence is sufficient and current</w:t>
            </w:r>
          </w:p>
        </w:tc>
      </w:tr>
      <w:tr>
        <w:tc>
          <w:tcPr>
            <w:tcW w:type="dxa" w:w="1500"/>
            <w:tcMar>
              <w:top w:w="80" w:type="dxa"/>
              <w:start w:w="120" w:type="dxa"/>
              <w:bottom w:w="80" w:type="dxa"/>
              <w:end w:w="120" w:type="dxa"/>
            </w:tcMar>
            <w:vAlign w:val="center"/>
          </w:tcPr>
          <w:p>
            <w:pPr>
              <w:spacing w:after="0"/>
              <w:jc w:val="left"/>
            </w:pPr>
            <w:r>
              <w:rPr>
                <w:rFonts w:ascii="Calibri" w:hAnsi="Calibri"/>
                <w:b w:val="0"/>
                <w:i w:val="0"/>
                <w:color w:val="1F2937"/>
                <w:sz w:val="18"/>
              </w:rPr>
              <w:t>Strength</w:t>
            </w:r>
          </w:p>
        </w:tc>
        <w:tc>
          <w:tcPr>
            <w:tcW w:type="dxa" w:w="4650"/>
            <w:tcMar>
              <w:top w:w="80" w:type="dxa"/>
              <w:start w:w="120" w:type="dxa"/>
              <w:bottom w:w="80" w:type="dxa"/>
              <w:end w:w="120" w:type="dxa"/>
            </w:tcMar>
            <w:vAlign w:val="center"/>
          </w:tcPr>
          <w:p>
            <w:pPr>
              <w:spacing w:after="0"/>
              <w:jc w:val="left"/>
            </w:pPr>
            <w:r>
              <w:rPr>
                <w:rFonts w:ascii="Calibri" w:hAnsi="Calibri"/>
                <w:b w:val="0"/>
                <w:i w:val="0"/>
                <w:color w:val="1F2937"/>
                <w:sz w:val="18"/>
              </w:rPr>
              <w:t>Mean, median, SD, coefficient of variation, P10, min/max</w:t>
            </w:r>
          </w:p>
        </w:tc>
        <w:tc>
          <w:tcPr>
            <w:tcW w:type="dxa" w:w="3210"/>
            <w:tcMar>
              <w:top w:w="80" w:type="dxa"/>
              <w:start w:w="120" w:type="dxa"/>
              <w:bottom w:w="80" w:type="dxa"/>
              <w:end w:w="120" w:type="dxa"/>
            </w:tcMar>
            <w:vAlign w:val="center"/>
          </w:tcPr>
          <w:p>
            <w:pPr>
              <w:spacing w:after="0"/>
              <w:jc w:val="left"/>
            </w:pPr>
            <w:r>
              <w:rPr>
                <w:rFonts w:ascii="Calibri" w:hAnsi="Calibri"/>
                <w:b w:val="0"/>
                <w:i w:val="0"/>
                <w:color w:val="1F2937"/>
                <w:sz w:val="18"/>
              </w:rPr>
              <w:t>Measures level and variability</w:t>
            </w:r>
          </w:p>
        </w:tc>
      </w:tr>
      <w:tr>
        <w:tc>
          <w:tcPr>
            <w:tcW w:type="dxa" w:w="1500"/>
            <w:tcMar>
              <w:top w:w="80" w:type="dxa"/>
              <w:start w:w="120" w:type="dxa"/>
              <w:bottom w:w="80" w:type="dxa"/>
              <w:end w:w="120" w:type="dxa"/>
            </w:tcMar>
            <w:vAlign w:val="center"/>
          </w:tcPr>
          <w:p>
            <w:pPr>
              <w:spacing w:after="0"/>
              <w:jc w:val="left"/>
            </w:pPr>
            <w:r>
              <w:rPr>
                <w:rFonts w:ascii="Calibri" w:hAnsi="Calibri"/>
                <w:b w:val="0"/>
                <w:i w:val="0"/>
                <w:color w:val="1F2937"/>
                <w:sz w:val="18"/>
              </w:rPr>
              <w:t>Compliance</w:t>
            </w:r>
          </w:p>
        </w:tc>
        <w:tc>
          <w:tcPr>
            <w:tcW w:type="dxa" w:w="4650"/>
            <w:tcMar>
              <w:top w:w="80" w:type="dxa"/>
              <w:start w:w="120" w:type="dxa"/>
              <w:bottom w:w="80" w:type="dxa"/>
              <w:end w:w="120" w:type="dxa"/>
            </w:tcMar>
            <w:vAlign w:val="center"/>
          </w:tcPr>
          <w:p>
            <w:pPr>
              <w:spacing w:after="0"/>
              <w:jc w:val="left"/>
            </w:pPr>
            <w:r>
              <w:rPr>
                <w:rFonts w:ascii="Calibri" w:hAnsi="Calibri"/>
                <w:b w:val="0"/>
                <w:i w:val="0"/>
                <w:color w:val="1F2937"/>
                <w:sz w:val="18"/>
              </w:rPr>
              <w:t>Failure count/rate; tests below required strength</w:t>
            </w:r>
          </w:p>
        </w:tc>
        <w:tc>
          <w:tcPr>
            <w:tcW w:type="dxa" w:w="3210"/>
            <w:tcMar>
              <w:top w:w="80" w:type="dxa"/>
              <w:start w:w="120" w:type="dxa"/>
              <w:bottom w:w="80" w:type="dxa"/>
              <w:end w:w="120" w:type="dxa"/>
            </w:tcMar>
            <w:vAlign w:val="center"/>
          </w:tcPr>
          <w:p>
            <w:pPr>
              <w:spacing w:after="0"/>
              <w:jc w:val="left"/>
            </w:pPr>
            <w:r>
              <w:rPr>
                <w:rFonts w:ascii="Calibri" w:hAnsi="Calibri"/>
                <w:b w:val="0"/>
                <w:i w:val="0"/>
                <w:color w:val="1F2937"/>
                <w:sz w:val="18"/>
              </w:rPr>
              <w:t>Measures demonstrated reliability</w:t>
            </w:r>
          </w:p>
        </w:tc>
      </w:tr>
      <w:tr>
        <w:tc>
          <w:tcPr>
            <w:tcW w:type="dxa" w:w="1500"/>
            <w:tcMar>
              <w:top w:w="80" w:type="dxa"/>
              <w:start w:w="120" w:type="dxa"/>
              <w:bottom w:w="80" w:type="dxa"/>
              <w:end w:w="120" w:type="dxa"/>
            </w:tcMar>
            <w:vAlign w:val="center"/>
          </w:tcPr>
          <w:p>
            <w:pPr>
              <w:spacing w:after="0"/>
              <w:jc w:val="left"/>
            </w:pPr>
            <w:r>
              <w:rPr>
                <w:rFonts w:ascii="Calibri" w:hAnsi="Calibri"/>
                <w:b w:val="0"/>
                <w:i w:val="0"/>
                <w:color w:val="1F2937"/>
                <w:sz w:val="18"/>
              </w:rPr>
              <w:t>Margin</w:t>
            </w:r>
          </w:p>
        </w:tc>
        <w:tc>
          <w:tcPr>
            <w:tcW w:type="dxa" w:w="4650"/>
            <w:tcMar>
              <w:top w:w="80" w:type="dxa"/>
              <w:start w:w="120" w:type="dxa"/>
              <w:bottom w:w="80" w:type="dxa"/>
              <w:end w:w="120" w:type="dxa"/>
            </w:tcMar>
            <w:vAlign w:val="center"/>
          </w:tcPr>
          <w:p>
            <w:pPr>
              <w:spacing w:after="0"/>
              <w:jc w:val="left"/>
            </w:pPr>
            <w:r>
              <w:rPr>
                <w:rFonts w:ascii="Calibri" w:hAnsi="Calibri"/>
                <w:b w:val="0"/>
                <w:i w:val="0"/>
                <w:color w:val="1F2937"/>
                <w:sz w:val="18"/>
              </w:rPr>
              <w:t>Mean/median/P10 strength margin</w:t>
            </w:r>
          </w:p>
        </w:tc>
        <w:tc>
          <w:tcPr>
            <w:tcW w:type="dxa" w:w="3210"/>
            <w:tcMar>
              <w:top w:w="80" w:type="dxa"/>
              <w:start w:w="120" w:type="dxa"/>
              <w:bottom w:w="80" w:type="dxa"/>
              <w:end w:w="120" w:type="dxa"/>
            </w:tcMar>
            <w:vAlign w:val="center"/>
          </w:tcPr>
          <w:p>
            <w:pPr>
              <w:spacing w:after="0"/>
              <w:jc w:val="left"/>
            </w:pPr>
            <w:r>
              <w:rPr>
                <w:rFonts w:ascii="Calibri" w:hAnsi="Calibri"/>
                <w:b w:val="0"/>
                <w:i w:val="0"/>
                <w:color w:val="1F2937"/>
                <w:sz w:val="18"/>
              </w:rPr>
              <w:t>Finds consistent over-performance</w:t>
            </w:r>
          </w:p>
        </w:tc>
      </w:tr>
      <w:tr>
        <w:tc>
          <w:tcPr>
            <w:tcW w:type="dxa" w:w="1500"/>
            <w:tcMar>
              <w:top w:w="80" w:type="dxa"/>
              <w:start w:w="120" w:type="dxa"/>
              <w:bottom w:w="80" w:type="dxa"/>
              <w:end w:w="120" w:type="dxa"/>
            </w:tcMar>
            <w:vAlign w:val="center"/>
          </w:tcPr>
          <w:p>
            <w:pPr>
              <w:spacing w:after="0"/>
              <w:jc w:val="left"/>
            </w:pPr>
            <w:r>
              <w:rPr>
                <w:rFonts w:ascii="Calibri" w:hAnsi="Calibri"/>
                <w:b w:val="0"/>
                <w:i w:val="0"/>
                <w:color w:val="1F2937"/>
                <w:sz w:val="18"/>
              </w:rPr>
              <w:t>Materials</w:t>
            </w:r>
          </w:p>
        </w:tc>
        <w:tc>
          <w:tcPr>
            <w:tcW w:type="dxa" w:w="4650"/>
            <w:tcMar>
              <w:top w:w="80" w:type="dxa"/>
              <w:start w:w="120" w:type="dxa"/>
              <w:bottom w:w="80" w:type="dxa"/>
              <w:end w:w="120" w:type="dxa"/>
            </w:tcMar>
            <w:vAlign w:val="center"/>
          </w:tcPr>
          <w:p>
            <w:pPr>
              <w:spacing w:after="0"/>
              <w:jc w:val="left"/>
            </w:pPr>
            <w:r>
              <w:rPr>
                <w:rFonts w:ascii="Calibri" w:hAnsi="Calibri"/>
                <w:b w:val="0"/>
                <w:i w:val="0"/>
                <w:color w:val="1F2937"/>
                <w:sz w:val="18"/>
              </w:rPr>
              <w:t>Mean/median/range of cement, fly ash, total cementitious, W/C</w:t>
            </w:r>
          </w:p>
        </w:tc>
        <w:tc>
          <w:tcPr>
            <w:tcW w:type="dxa" w:w="3210"/>
            <w:tcMar>
              <w:top w:w="80" w:type="dxa"/>
              <w:start w:w="120" w:type="dxa"/>
              <w:bottom w:w="80" w:type="dxa"/>
              <w:end w:w="120" w:type="dxa"/>
            </w:tcMar>
            <w:vAlign w:val="center"/>
          </w:tcPr>
          <w:p>
            <w:pPr>
              <w:spacing w:after="0"/>
              <w:jc w:val="left"/>
            </w:pPr>
            <w:r>
              <w:rPr>
                <w:rFonts w:ascii="Calibri" w:hAnsi="Calibri"/>
                <w:b w:val="0"/>
                <w:i w:val="0"/>
                <w:color w:val="1F2937"/>
                <w:sz w:val="18"/>
              </w:rPr>
              <w:t>Compares resource intensity</w:t>
            </w:r>
          </w:p>
        </w:tc>
      </w:tr>
      <w:tr>
        <w:tc>
          <w:tcPr>
            <w:tcW w:type="dxa" w:w="1500"/>
            <w:tcMar>
              <w:top w:w="80" w:type="dxa"/>
              <w:start w:w="120" w:type="dxa"/>
              <w:bottom w:w="80" w:type="dxa"/>
              <w:end w:w="120" w:type="dxa"/>
            </w:tcMar>
            <w:vAlign w:val="center"/>
          </w:tcPr>
          <w:p>
            <w:pPr>
              <w:spacing w:after="0"/>
              <w:jc w:val="left"/>
            </w:pPr>
            <w:r>
              <w:rPr>
                <w:rFonts w:ascii="Calibri" w:hAnsi="Calibri"/>
                <w:b w:val="0"/>
                <w:i w:val="0"/>
                <w:color w:val="1F2937"/>
                <w:sz w:val="18"/>
              </w:rPr>
              <w:t>Fresh concrete</w:t>
            </w:r>
          </w:p>
        </w:tc>
        <w:tc>
          <w:tcPr>
            <w:tcW w:type="dxa" w:w="4650"/>
            <w:tcMar>
              <w:top w:w="80" w:type="dxa"/>
              <w:start w:w="120" w:type="dxa"/>
              <w:bottom w:w="80" w:type="dxa"/>
              <w:end w:w="120" w:type="dxa"/>
            </w:tcMar>
            <w:vAlign w:val="center"/>
          </w:tcPr>
          <w:p>
            <w:pPr>
              <w:spacing w:after="0"/>
              <w:jc w:val="left"/>
            </w:pPr>
            <w:r>
              <w:rPr>
                <w:rFonts w:ascii="Calibri" w:hAnsi="Calibri"/>
                <w:b w:val="0"/>
                <w:i w:val="0"/>
                <w:color w:val="1F2937"/>
                <w:sz w:val="18"/>
              </w:rPr>
              <w:t>Slump/air sample count, mean, out-of-spec rate</w:t>
            </w:r>
          </w:p>
        </w:tc>
        <w:tc>
          <w:tcPr>
            <w:tcW w:type="dxa" w:w="3210"/>
            <w:tcMar>
              <w:top w:w="80" w:type="dxa"/>
              <w:start w:w="120" w:type="dxa"/>
              <w:bottom w:w="80" w:type="dxa"/>
              <w:end w:w="120" w:type="dxa"/>
            </w:tcMar>
            <w:vAlign w:val="center"/>
          </w:tcPr>
          <w:p>
            <w:pPr>
              <w:spacing w:after="0"/>
              <w:jc w:val="left"/>
            </w:pPr>
            <w:r>
              <w:rPr>
                <w:rFonts w:ascii="Calibri" w:hAnsi="Calibri"/>
                <w:b w:val="0"/>
                <w:i w:val="0"/>
                <w:color w:val="1F2937"/>
                <w:sz w:val="18"/>
              </w:rPr>
              <w:t>Checks field performance</w:t>
            </w:r>
          </w:p>
        </w:tc>
      </w:tr>
      <w:tr>
        <w:tc>
          <w:tcPr>
            <w:tcW w:type="dxa" w:w="1500"/>
            <w:tcMar>
              <w:top w:w="80" w:type="dxa"/>
              <w:start w:w="120" w:type="dxa"/>
              <w:bottom w:w="80" w:type="dxa"/>
              <w:end w:w="120" w:type="dxa"/>
            </w:tcMar>
            <w:vAlign w:val="center"/>
          </w:tcPr>
          <w:p>
            <w:pPr>
              <w:spacing w:after="0"/>
              <w:jc w:val="left"/>
            </w:pPr>
            <w:r>
              <w:rPr>
                <w:rFonts w:ascii="Calibri" w:hAnsi="Calibri"/>
                <w:b w:val="0"/>
                <w:i w:val="0"/>
                <w:color w:val="1F2937"/>
                <w:sz w:val="18"/>
              </w:rPr>
              <w:t>Consistency</w:t>
            </w:r>
          </w:p>
        </w:tc>
        <w:tc>
          <w:tcPr>
            <w:tcW w:type="dxa" w:w="4650"/>
            <w:tcMar>
              <w:top w:w="80" w:type="dxa"/>
              <w:start w:w="120" w:type="dxa"/>
              <w:bottom w:w="80" w:type="dxa"/>
              <w:end w:w="120" w:type="dxa"/>
            </w:tcMar>
            <w:vAlign w:val="center"/>
          </w:tcPr>
          <w:p>
            <w:pPr>
              <w:spacing w:after="0"/>
              <w:jc w:val="left"/>
            </w:pPr>
            <w:r>
              <w:rPr>
                <w:rFonts w:ascii="Calibri" w:hAnsi="Calibri"/>
                <w:b w:val="0"/>
                <w:i w:val="0"/>
                <w:color w:val="1F2937"/>
                <w:sz w:val="18"/>
              </w:rPr>
              <w:t>Year/quarter trends and recent-vs-history shift</w:t>
            </w:r>
          </w:p>
        </w:tc>
        <w:tc>
          <w:tcPr>
            <w:tcW w:type="dxa" w:w="3210"/>
            <w:tcMar>
              <w:top w:w="80" w:type="dxa"/>
              <w:start w:w="120" w:type="dxa"/>
              <w:bottom w:w="80" w:type="dxa"/>
              <w:end w:w="120" w:type="dxa"/>
            </w:tcMar>
            <w:vAlign w:val="center"/>
          </w:tcPr>
          <w:p>
            <w:pPr>
              <w:spacing w:after="0"/>
              <w:jc w:val="left"/>
            </w:pPr>
            <w:r>
              <w:rPr>
                <w:rFonts w:ascii="Calibri" w:hAnsi="Calibri"/>
                <w:b w:val="0"/>
                <w:i w:val="0"/>
                <w:color w:val="1F2937"/>
                <w:sz w:val="18"/>
              </w:rPr>
              <w:t>Detects deterioration or process changes</w:t>
            </w:r>
          </w:p>
        </w:tc>
      </w:tr>
    </w:tbl>
    <w:p>
      <w:pPr>
        <w:spacing w:after="40"/>
      </w:pPr>
    </w:p>
    <w:p>
      <w:pPr>
        <w:pStyle w:val="Heading2"/>
        <w:keepNext/>
      </w:pPr>
      <w:r>
        <w:t>5.3 Candidate rules</w:t>
      </w:r>
    </w:p>
    <w:p>
      <w:pPr>
        <w:spacing w:before="0" w:after="120" w:line="264" w:lineRule="auto"/>
      </w:pPr>
      <w:r>
        <w:rPr>
          <w:rFonts w:ascii="Calibri" w:hAnsi="Calibri"/>
          <w:b w:val="0"/>
          <w:i w:val="0"/>
          <w:color w:val="1F2937"/>
          <w:sz w:val="21"/>
        </w:rPr>
        <w:t>Use configurable, transparent rules rather than a single opaque score. A conservative first version can require all of the following:</w:t>
      </w:r>
    </w:p>
    <w:p>
      <w:pPr>
        <w:pStyle w:val="ListBullet"/>
        <w:spacing w:after="80" w:line="280" w:lineRule="auto"/>
      </w:pPr>
      <w:r>
        <w:rPr>
          <w:rFonts w:ascii="Calibri" w:hAnsi="Calibri"/>
          <w:b w:val="0"/>
          <w:i w:val="0"/>
          <w:color w:val="1F2937"/>
          <w:sz w:val="21"/>
        </w:rPr>
        <w:t>Minimum number of valid 28-day tests (initial exploratory value: 30; materials engineer to approve).</w:t>
      </w:r>
    </w:p>
    <w:p>
      <w:pPr>
        <w:pStyle w:val="ListBullet"/>
        <w:spacing w:after="80" w:line="280" w:lineRule="auto"/>
      </w:pPr>
      <w:r>
        <w:rPr>
          <w:rFonts w:ascii="Calibri" w:hAnsi="Calibri"/>
          <w:b w:val="0"/>
          <w:i w:val="0"/>
          <w:color w:val="1F2937"/>
          <w:sz w:val="21"/>
        </w:rPr>
        <w:t>No recent strength failures, or a failure rate below an engineer-approved limit.</w:t>
      </w:r>
    </w:p>
    <w:p>
      <w:pPr>
        <w:pStyle w:val="ListBullet"/>
        <w:spacing w:after="80" w:line="280" w:lineRule="auto"/>
      </w:pPr>
      <w:r>
        <w:rPr>
          <w:rFonts w:ascii="Calibri" w:hAnsi="Calibri"/>
          <w:b w:val="0"/>
          <w:i w:val="0"/>
          <w:color w:val="1F2937"/>
          <w:sz w:val="21"/>
        </w:rPr>
        <w:t>P10 actual strength at or above required strength plus an approved buffer.</w:t>
      </w:r>
    </w:p>
    <w:p>
      <w:pPr>
        <w:pStyle w:val="ListBullet"/>
        <w:spacing w:after="80" w:line="280" w:lineRule="auto"/>
      </w:pPr>
      <w:r>
        <w:rPr>
          <w:rFonts w:ascii="Calibri" w:hAnsi="Calibri"/>
          <w:b w:val="0"/>
          <w:i w:val="0"/>
          <w:color w:val="1F2937"/>
          <w:sz w:val="21"/>
        </w:rPr>
        <w:t>No evidence of recent downward trend or major increase in variability.</w:t>
      </w:r>
    </w:p>
    <w:p>
      <w:pPr>
        <w:pStyle w:val="ListBullet"/>
        <w:spacing w:after="80" w:line="280" w:lineRule="auto"/>
      </w:pPr>
      <w:r>
        <w:rPr>
          <w:rFonts w:ascii="Calibri" w:hAnsi="Calibri"/>
          <w:b w:val="0"/>
          <w:i w:val="0"/>
          <w:color w:val="1F2937"/>
          <w:sz w:val="21"/>
        </w:rPr>
        <w:t>Adequate slump and air compliance coverage when those specifications apply.</w:t>
      </w:r>
    </w:p>
    <w:p>
      <w:pPr>
        <w:pStyle w:val="ListBullet"/>
        <w:spacing w:after="80" w:line="280" w:lineRule="auto"/>
      </w:pPr>
      <w:r>
        <w:rPr>
          <w:rFonts w:ascii="Calibri" w:hAnsi="Calibri"/>
          <w:b w:val="0"/>
          <w:i w:val="0"/>
          <w:color w:val="1F2937"/>
          <w:sz w:val="21"/>
        </w:rPr>
        <w:t>Mean strength margin materially higher than comparable mixes in the same strength class.</w:t>
      </w:r>
    </w:p>
    <w:p>
      <w:pPr>
        <w:pStyle w:val="ListBullet"/>
        <w:spacing w:after="80" w:line="280" w:lineRule="auto"/>
      </w:pPr>
      <w:r>
        <w:rPr>
          <w:rFonts w:ascii="Calibri" w:hAnsi="Calibri"/>
          <w:b w:val="0"/>
          <w:i w:val="0"/>
          <w:color w:val="1F2937"/>
          <w:sz w:val="21"/>
        </w:rPr>
        <w:t>Cement or total cementitious content higher than a stable peer mix, indicating possible review opportunity.</w:t>
      </w:r>
    </w:p>
    <w:p>
      <w:pPr>
        <w:spacing w:before="0" w:after="120" w:line="264" w:lineRule="auto"/>
      </w:pPr>
      <w:r>
        <w:rPr>
          <w:rFonts w:ascii="Calibri" w:hAnsi="Calibri"/>
          <w:b w:val="0"/>
          <w:i w:val="0"/>
          <w:color w:val="1F2937"/>
          <w:sz w:val="21"/>
        </w:rPr>
        <w:t>The output label should be “Engineering Review Candidate,” not “Reduce Cement” or “Optimized Mix.” The materials engineer decides whether additional design review or trial batching is appropriate.</w:t>
      </w:r>
    </w:p>
    <w:p>
      <w:pPr>
        <w:pStyle w:val="Heading2"/>
        <w:keepNext/>
      </w:pPr>
      <w:r>
        <w:t>5.4 Peer comparison</w:t>
      </w:r>
    </w:p>
    <w:p>
      <w:pPr>
        <w:spacing w:before="0" w:after="120" w:line="264" w:lineRule="auto"/>
      </w:pPr>
      <w:r>
        <w:rPr>
          <w:rFonts w:ascii="Calibri" w:hAnsi="Calibri"/>
          <w:b w:val="0"/>
          <w:i w:val="0"/>
          <w:color w:val="1F2937"/>
          <w:sz w:val="21"/>
        </w:rPr>
        <w:t>Compare a mix only with relevant peers: same required-strength class, similar applicable air/slump specification, and preferably the same regional market or supplier/plant. Useful peer measures include percentile rank of cement content, percentile rank of strength margin, failure rate, and P10 strength. This prevents an 8,000 psi mix from being compared directly with a 3,000 psi mix.</w:t>
      </w:r>
    </w:p>
    <w:p>
      <w:pPr>
        <w:pStyle w:val="Heading2"/>
        <w:keepNext/>
      </w:pPr>
      <w:r>
        <w:t>5.5 Recommended deliverables</w:t>
      </w:r>
    </w:p>
    <w:p>
      <w:pPr>
        <w:pStyle w:val="ListBullet"/>
        <w:spacing w:after="80" w:line="280" w:lineRule="auto"/>
      </w:pPr>
      <w:r>
        <w:rPr>
          <w:rFonts w:ascii="Calibri" w:hAnsi="Calibri"/>
          <w:b w:val="0"/>
          <w:i w:val="0"/>
          <w:color w:val="1F2937"/>
          <w:sz w:val="21"/>
        </w:rPr>
        <w:t>mix_performance_summary.csv — one row per comparable mix group.</w:t>
      </w:r>
    </w:p>
    <w:p>
      <w:pPr>
        <w:pStyle w:val="ListBullet"/>
        <w:spacing w:after="80" w:line="280" w:lineRule="auto"/>
      </w:pPr>
      <w:r>
        <w:rPr>
          <w:rFonts w:ascii="Calibri" w:hAnsi="Calibri"/>
          <w:b w:val="0"/>
          <w:i w:val="0"/>
          <w:color w:val="1F2937"/>
          <w:sz w:val="21"/>
        </w:rPr>
        <w:t>mix_review_candidates.csv — groups meeting the transparent review rules.</w:t>
      </w:r>
    </w:p>
    <w:p>
      <w:pPr>
        <w:pStyle w:val="ListBullet"/>
        <w:spacing w:after="80" w:line="280" w:lineRule="auto"/>
      </w:pPr>
      <w:r>
        <w:rPr>
          <w:rFonts w:ascii="Calibri" w:hAnsi="Calibri"/>
          <w:b w:val="0"/>
          <w:i w:val="0"/>
          <w:color w:val="1F2937"/>
          <w:sz w:val="21"/>
        </w:rPr>
        <w:t>mix_data_quality_exceptions.csv — missing, inconsistent, and insufficient groups.</w:t>
      </w:r>
    </w:p>
    <w:p>
      <w:pPr>
        <w:pStyle w:val="ListBullet"/>
        <w:spacing w:after="80" w:line="280" w:lineRule="auto"/>
      </w:pPr>
      <w:r>
        <w:rPr>
          <w:rFonts w:ascii="Calibri" w:hAnsi="Calibri"/>
          <w:b w:val="0"/>
          <w:i w:val="0"/>
          <w:color w:val="1F2937"/>
          <w:sz w:val="21"/>
        </w:rPr>
        <w:t>mix_test_detail.csv — underlying tests for engineer audit.</w:t>
      </w:r>
    </w:p>
    <w:p>
      <w:pPr>
        <w:pStyle w:val="ListBullet"/>
        <w:spacing w:after="80" w:line="280" w:lineRule="auto"/>
      </w:pPr>
      <w:r>
        <w:rPr>
          <w:rFonts w:ascii="Calibri" w:hAnsi="Calibri"/>
          <w:b w:val="0"/>
          <w:i w:val="0"/>
          <w:color w:val="1F2937"/>
          <w:sz w:val="21"/>
        </w:rPr>
        <w:t>Executive summary charts — failure rate, P10 margin, cement use, and variability by mix.</w:t>
      </w:r>
    </w:p>
    <w:p>
      <w:pPr>
        <w:pStyle w:val="Heading1"/>
        <w:keepNext/>
      </w:pPr>
      <w:r>
        <w:t>6. Proposed Analysis Workflow</w:t>
      </w:r>
    </w:p>
    <w:p>
      <w:pPr>
        <w:pStyle w:val="ListNumber"/>
        <w:spacing w:after="100" w:line="280" w:lineRule="auto"/>
      </w:pPr>
      <w:r>
        <w:rPr>
          <w:rFonts w:ascii="Calibri" w:hAnsi="Calibri"/>
          <w:b w:val="0"/>
          <w:i w:val="0"/>
          <w:color w:val="1F2937"/>
          <w:sz w:val="21"/>
        </w:rPr>
        <w:t>Validate identity fields. Standardize supplier/plant aliases carefully while preserving original values for audit.</w:t>
      </w:r>
    </w:p>
    <w:p>
      <w:pPr>
        <w:pStyle w:val="ListNumber"/>
        <w:spacing w:after="100" w:line="280" w:lineRule="auto"/>
      </w:pPr>
      <w:r>
        <w:rPr>
          <w:rFonts w:ascii="Calibri" w:hAnsi="Calibri"/>
          <w:b w:val="0"/>
          <w:i w:val="0"/>
          <w:color w:val="1F2937"/>
          <w:sz w:val="21"/>
        </w:rPr>
        <w:t>Create comparable groups using office, supplier, plant, mix, required strength, and specification ranges.</w:t>
      </w:r>
    </w:p>
    <w:p>
      <w:pPr>
        <w:pStyle w:val="ListNumber"/>
        <w:spacing w:after="100" w:line="280" w:lineRule="auto"/>
      </w:pPr>
      <w:r>
        <w:rPr>
          <w:rFonts w:ascii="Calibri" w:hAnsi="Calibri"/>
          <w:b w:val="0"/>
          <w:i w:val="0"/>
          <w:color w:val="1F2937"/>
          <w:sz w:val="21"/>
        </w:rPr>
        <w:t>Filter to standard-cured 28-day outcomes and valid US-unit batch quantities; retain exclusion reasons.</w:t>
      </w:r>
    </w:p>
    <w:p>
      <w:pPr>
        <w:pStyle w:val="ListNumber"/>
        <w:spacing w:after="100" w:line="280" w:lineRule="auto"/>
      </w:pPr>
      <w:r>
        <w:rPr>
          <w:rFonts w:ascii="Calibri" w:hAnsi="Calibri"/>
          <w:b w:val="0"/>
          <w:i w:val="0"/>
          <w:color w:val="1F2937"/>
          <w:sz w:val="21"/>
        </w:rPr>
        <w:t>Calculate strength, failure, margin, material, field-compliance, and time-trend metrics.</w:t>
      </w:r>
    </w:p>
    <w:p>
      <w:pPr>
        <w:pStyle w:val="ListNumber"/>
        <w:spacing w:after="100" w:line="280" w:lineRule="auto"/>
      </w:pPr>
      <w:r>
        <w:rPr>
          <w:rFonts w:ascii="Calibri" w:hAnsi="Calibri"/>
          <w:b w:val="0"/>
          <w:i w:val="0"/>
          <w:color w:val="1F2937"/>
          <w:sz w:val="21"/>
        </w:rPr>
        <w:t>Apply minimum sample-size and reliability gates before peer comparison.</w:t>
      </w:r>
    </w:p>
    <w:p>
      <w:pPr>
        <w:pStyle w:val="ListNumber"/>
        <w:spacing w:after="100" w:line="280" w:lineRule="auto"/>
      </w:pPr>
      <w:r>
        <w:rPr>
          <w:rFonts w:ascii="Calibri" w:hAnsi="Calibri"/>
          <w:b w:val="0"/>
          <w:i w:val="0"/>
          <w:color w:val="1F2937"/>
          <w:sz w:val="21"/>
        </w:rPr>
        <w:t>Rank engineering review candidates within comparable peer groups; do not mix strength classes.</w:t>
      </w:r>
    </w:p>
    <w:p>
      <w:pPr>
        <w:pStyle w:val="ListNumber"/>
        <w:spacing w:after="100" w:line="280" w:lineRule="auto"/>
      </w:pPr>
      <w:r>
        <w:rPr>
          <w:rFonts w:ascii="Calibri" w:hAnsi="Calibri"/>
          <w:b w:val="0"/>
          <w:i w:val="0"/>
          <w:color w:val="1F2937"/>
          <w:sz w:val="21"/>
        </w:rPr>
        <w:t>Export summary, candidate, exception, and underlying-detail files.</w:t>
      </w:r>
    </w:p>
    <w:p>
      <w:pPr>
        <w:pStyle w:val="ListNumber"/>
        <w:spacing w:after="100" w:line="280" w:lineRule="auto"/>
      </w:pPr>
      <w:r>
        <w:rPr>
          <w:rFonts w:ascii="Calibri" w:hAnsi="Calibri"/>
          <w:b w:val="0"/>
          <w:i w:val="0"/>
          <w:color w:val="1F2937"/>
          <w:sz w:val="21"/>
        </w:rPr>
        <w:t>Review findings with a materials engineer, starting with recurring mix 303425 as a case study.</w:t>
      </w:r>
    </w:p>
    <w:p>
      <w:pPr>
        <w:pStyle w:val="ListNumber"/>
        <w:spacing w:after="100" w:line="280" w:lineRule="auto"/>
      </w:pPr>
      <w:r>
        <w:rPr>
          <w:rFonts w:ascii="Calibri" w:hAnsi="Calibri"/>
          <w:b w:val="0"/>
          <w:i w:val="0"/>
          <w:color w:val="1F2937"/>
          <w:sz w:val="21"/>
        </w:rPr>
        <w:t>If a candidate is accepted for investigation, conduct a controlled design review and trial batch; do not change production quantities solely from IMTS analytics.</w:t>
      </w:r>
    </w:p>
    <w:p>
      <w:pPr>
        <w:pStyle w:val="Heading1"/>
        <w:keepNext/>
      </w:pPr>
      <w:r>
        <w:t>7. Pilot Case: Mix 303425</w:t>
      </w:r>
    </w:p>
    <w:p>
      <w:pPr>
        <w:spacing w:before="0" w:after="120" w:line="264" w:lineRule="auto"/>
      </w:pPr>
      <w:r>
        <w:rPr>
          <w:rFonts w:ascii="Calibri" w:hAnsi="Calibri"/>
          <w:b w:val="0"/>
          <w:i w:val="0"/>
          <w:color w:val="1F2937"/>
          <w:sz w:val="21"/>
        </w:rPr>
        <w:t>The candidate output repeatedly identified mix 303425 from Duke City-related suppliers/plants. Historical rows generally show approximately 407–419 lb/yd³ cement, 137–146 lb/yd³ fly ash, W/C around 0.41–0.45, a 3,000 psi required strength, and many actual 28-day results around 5,000–6,400 psi. This makes it an appropriate pilot for aggregation—not proof that cement should be reduced.</w:t>
      </w:r>
    </w:p>
    <w:p>
      <w:pPr>
        <w:spacing w:before="0" w:after="120" w:line="264" w:lineRule="auto"/>
      </w:pPr>
      <w:r>
        <w:rPr>
          <w:rFonts w:ascii="Calibri" w:hAnsi="Calibri"/>
          <w:b w:val="0"/>
          <w:i w:val="0"/>
          <w:color w:val="1F2937"/>
          <w:sz w:val="21"/>
        </w:rPr>
        <w:t>The pilot should separate Broadway, Duke City, and BW-1 plants; resolve supplier aliases; calculate recent and all-history performance; verify applicable air/slump specifications; and examine the full strength distribution. The key questions are whether the P10 strength and failure rate remain acceptable and whether the apparent margin is stable rather than driven by selected high results or an old mix revision.</w:t>
      </w:r>
    </w:p>
    <w:p>
      <w:r>
        <w:br w:type="page"/>
      </w:r>
    </w:p>
    <w:p>
      <w:pPr>
        <w:pStyle w:val="Heading1"/>
        <w:keepNext/>
      </w:pPr>
      <w:r>
        <w:t>8. Decision and Recommendation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40"/>
            </w:pPr>
            <w:r>
              <w:rPr>
                <w:rFonts w:ascii="Calibri" w:hAnsi="Calibri"/>
                <w:b/>
                <w:i w:val="0"/>
                <w:color w:val="246B45"/>
                <w:sz w:val="21"/>
              </w:rPr>
              <w:t xml:space="preserve">Recommended path  </w:t>
            </w:r>
            <w:r>
              <w:rPr>
                <w:rFonts w:ascii="Calibri" w:hAnsi="Calibri"/>
                <w:b w:val="0"/>
                <w:i w:val="0"/>
                <w:color w:val="1F2937"/>
                <w:sz w:val="21"/>
              </w:rPr>
              <w:t>Proceed with Historical Mix Performance Analysis as the next IMTS analytics deliverable. Use the results to support, not replace, the professional judgment and approval process of a concrete/materials engineer.</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700"/>
        <w:gridCol w:w="2100"/>
        <w:gridCol w:w="4560"/>
      </w:tblGrid>
      <w:tr>
        <w:tc>
          <w:tcPr>
            <w:tcW w:type="dxa" w:w="2700"/>
            <w:shd w:fill="F2F4F7"/>
            <w:tcMar>
              <w:top w:w="80" w:type="dxa"/>
              <w:start w:w="120" w:type="dxa"/>
              <w:bottom w:w="80" w:type="dxa"/>
              <w:end w:w="120" w:type="dxa"/>
            </w:tcMar>
            <w:vAlign w:val="center"/>
          </w:tcPr>
          <w:p>
            <w:pPr>
              <w:spacing w:after="0"/>
              <w:jc w:val="center"/>
            </w:pPr>
            <w:r>
              <w:rPr>
                <w:rFonts w:ascii="Calibri" w:hAnsi="Calibri"/>
                <w:b/>
                <w:i w:val="0"/>
                <w:color w:val="1F4D78"/>
                <w:sz w:val="18"/>
              </w:rPr>
              <w:t>Use case</w:t>
            </w:r>
          </w:p>
        </w:tc>
        <w:tc>
          <w:tcPr>
            <w:tcW w:type="dxa" w:w="2100"/>
            <w:shd w:fill="F2F4F7"/>
            <w:tcMar>
              <w:top w:w="80" w:type="dxa"/>
              <w:start w:w="120" w:type="dxa"/>
              <w:bottom w:w="80" w:type="dxa"/>
              <w:end w:w="120" w:type="dxa"/>
            </w:tcMar>
            <w:vAlign w:val="center"/>
          </w:tcPr>
          <w:p>
            <w:pPr>
              <w:spacing w:after="0"/>
              <w:jc w:val="center"/>
            </w:pPr>
            <w:r>
              <w:rPr>
                <w:rFonts w:ascii="Calibri" w:hAnsi="Calibri"/>
                <w:b/>
                <w:i w:val="0"/>
                <w:color w:val="1F4D78"/>
                <w:sz w:val="18"/>
              </w:rPr>
              <w:t>Current decision</w:t>
            </w:r>
          </w:p>
        </w:tc>
        <w:tc>
          <w:tcPr>
            <w:tcW w:type="dxa" w:w="4560"/>
            <w:shd w:fill="F2F4F7"/>
            <w:tcMar>
              <w:top w:w="80" w:type="dxa"/>
              <w:start w:w="120" w:type="dxa"/>
              <w:bottom w:w="80" w:type="dxa"/>
              <w:end w:w="120" w:type="dxa"/>
            </w:tcMar>
            <w:vAlign w:val="center"/>
          </w:tcPr>
          <w:p>
            <w:pPr>
              <w:spacing w:after="0"/>
              <w:jc w:val="center"/>
            </w:pPr>
            <w:r>
              <w:rPr>
                <w:rFonts w:ascii="Calibri" w:hAnsi="Calibri"/>
                <w:b/>
                <w:i w:val="0"/>
                <w:color w:val="1F4D78"/>
                <w:sz w:val="18"/>
              </w:rPr>
              <w:t>Next action</w:t>
            </w:r>
          </w:p>
        </w:tc>
      </w:tr>
      <w:tr>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Automatic ML mix optimization</w:t>
            </w:r>
          </w:p>
        </w:tc>
        <w:tc>
          <w:tcPr>
            <w:tcW w:type="dxa" w:w="2100"/>
            <w:tcMar>
              <w:top w:w="80" w:type="dxa"/>
              <w:start w:w="120" w:type="dxa"/>
              <w:bottom w:w="80" w:type="dxa"/>
              <w:end w:w="120" w:type="dxa"/>
            </w:tcMar>
            <w:vAlign w:val="center"/>
          </w:tcPr>
          <w:p>
            <w:pPr>
              <w:spacing w:after="0"/>
              <w:jc w:val="left"/>
            </w:pPr>
            <w:r>
              <w:rPr>
                <w:rFonts w:ascii="Calibri" w:hAnsi="Calibri"/>
                <w:b w:val="0"/>
                <w:i w:val="0"/>
                <w:color w:val="1F2937"/>
                <w:sz w:val="18"/>
              </w:rPr>
              <w:t>Do not proceed</w:t>
            </w:r>
          </w:p>
        </w:tc>
        <w:tc>
          <w:tcPr>
            <w:tcW w:type="dxa" w:w="4560"/>
            <w:tcMar>
              <w:top w:w="80" w:type="dxa"/>
              <w:start w:w="120" w:type="dxa"/>
              <w:bottom w:w="80" w:type="dxa"/>
              <w:end w:w="120" w:type="dxa"/>
            </w:tcMar>
            <w:vAlign w:val="center"/>
          </w:tcPr>
          <w:p>
            <w:pPr>
              <w:spacing w:after="0"/>
              <w:jc w:val="left"/>
            </w:pPr>
            <w:r>
              <w:rPr>
                <w:rFonts w:ascii="Calibri" w:hAnsi="Calibri"/>
                <w:b w:val="0"/>
                <w:i w:val="0"/>
                <w:color w:val="1F2937"/>
                <w:sz w:val="18"/>
              </w:rPr>
              <w:t>Collect structured material data and revalidate locally</w:t>
            </w:r>
          </w:p>
        </w:tc>
      </w:tr>
      <w:tr>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Automatic cement/carbon reduction</w:t>
            </w:r>
          </w:p>
        </w:tc>
        <w:tc>
          <w:tcPr>
            <w:tcW w:type="dxa" w:w="2100"/>
            <w:tcMar>
              <w:top w:w="80" w:type="dxa"/>
              <w:start w:w="120" w:type="dxa"/>
              <w:bottom w:w="80" w:type="dxa"/>
              <w:end w:w="120" w:type="dxa"/>
            </w:tcMar>
            <w:vAlign w:val="center"/>
          </w:tcPr>
          <w:p>
            <w:pPr>
              <w:spacing w:after="0"/>
              <w:jc w:val="left"/>
            </w:pPr>
            <w:r>
              <w:rPr>
                <w:rFonts w:ascii="Calibri" w:hAnsi="Calibri"/>
                <w:b w:val="0"/>
                <w:i w:val="0"/>
                <w:color w:val="1F2937"/>
                <w:sz w:val="18"/>
              </w:rPr>
              <w:t>Do not proceed</w:t>
            </w:r>
          </w:p>
        </w:tc>
        <w:tc>
          <w:tcPr>
            <w:tcW w:type="dxa" w:w="4560"/>
            <w:tcMar>
              <w:top w:w="80" w:type="dxa"/>
              <w:start w:w="120" w:type="dxa"/>
              <w:bottom w:w="80" w:type="dxa"/>
              <w:end w:w="120" w:type="dxa"/>
            </w:tcMar>
            <w:vAlign w:val="center"/>
          </w:tcPr>
          <w:p>
            <w:pPr>
              <w:spacing w:after="0"/>
              <w:jc w:val="left"/>
            </w:pPr>
            <w:r>
              <w:rPr>
                <w:rFonts w:ascii="Calibri" w:hAnsi="Calibri"/>
                <w:b w:val="0"/>
                <w:i w:val="0"/>
                <w:color w:val="1F2937"/>
                <w:sz w:val="18"/>
              </w:rPr>
              <w:t>Obtain emission factors/costs and require engineering trials</w:t>
            </w:r>
          </w:p>
        </w:tc>
      </w:tr>
      <w:tr>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Historical mix performance analysis</w:t>
            </w:r>
          </w:p>
        </w:tc>
        <w:tc>
          <w:tcPr>
            <w:tcW w:type="dxa" w:w="2100"/>
            <w:tcMar>
              <w:top w:w="80" w:type="dxa"/>
              <w:start w:w="120" w:type="dxa"/>
              <w:bottom w:w="80" w:type="dxa"/>
              <w:end w:w="120" w:type="dxa"/>
            </w:tcMar>
            <w:vAlign w:val="center"/>
          </w:tcPr>
          <w:p>
            <w:pPr>
              <w:spacing w:after="0"/>
              <w:jc w:val="left"/>
            </w:pPr>
            <w:r>
              <w:rPr>
                <w:rFonts w:ascii="Calibri" w:hAnsi="Calibri"/>
                <w:b w:val="0"/>
                <w:i w:val="0"/>
                <w:color w:val="1F2937"/>
                <w:sz w:val="18"/>
              </w:rPr>
              <w:t>Proceed</w:t>
            </w:r>
          </w:p>
        </w:tc>
        <w:tc>
          <w:tcPr>
            <w:tcW w:type="dxa" w:w="4560"/>
            <w:tcMar>
              <w:top w:w="80" w:type="dxa"/>
              <w:start w:w="120" w:type="dxa"/>
              <w:bottom w:w="80" w:type="dxa"/>
              <w:end w:w="120" w:type="dxa"/>
            </w:tcMar>
            <w:vAlign w:val="center"/>
          </w:tcPr>
          <w:p>
            <w:pPr>
              <w:spacing w:after="0"/>
              <w:jc w:val="left"/>
            </w:pPr>
            <w:r>
              <w:rPr>
                <w:rFonts w:ascii="Calibri" w:hAnsi="Calibri"/>
                <w:b w:val="0"/>
                <w:i w:val="0"/>
                <w:color w:val="1F2937"/>
                <w:sz w:val="18"/>
              </w:rPr>
              <w:t>Build transparent group metrics and review rules</w:t>
            </w:r>
          </w:p>
        </w:tc>
      </w:tr>
      <w:tr>
        <w:tc>
          <w:tcPr>
            <w:tcW w:type="dxa" w:w="2700"/>
            <w:tcMar>
              <w:top w:w="80" w:type="dxa"/>
              <w:start w:w="120" w:type="dxa"/>
              <w:bottom w:w="80" w:type="dxa"/>
              <w:end w:w="120" w:type="dxa"/>
            </w:tcMar>
            <w:vAlign w:val="center"/>
          </w:tcPr>
          <w:p>
            <w:pPr>
              <w:spacing w:after="0"/>
              <w:jc w:val="left"/>
            </w:pPr>
            <w:r>
              <w:rPr>
                <w:rFonts w:ascii="Calibri" w:hAnsi="Calibri"/>
                <w:b w:val="0"/>
                <w:i w:val="0"/>
                <w:color w:val="1F2937"/>
                <w:sz w:val="18"/>
              </w:rPr>
              <w:t>Mix-design review candidate list</w:t>
            </w:r>
          </w:p>
        </w:tc>
        <w:tc>
          <w:tcPr>
            <w:tcW w:type="dxa" w:w="2100"/>
            <w:tcMar>
              <w:top w:w="80" w:type="dxa"/>
              <w:start w:w="120" w:type="dxa"/>
              <w:bottom w:w="80" w:type="dxa"/>
              <w:end w:w="120" w:type="dxa"/>
            </w:tcMar>
            <w:vAlign w:val="center"/>
          </w:tcPr>
          <w:p>
            <w:pPr>
              <w:spacing w:after="0"/>
              <w:jc w:val="left"/>
            </w:pPr>
            <w:r>
              <w:rPr>
                <w:rFonts w:ascii="Calibri" w:hAnsi="Calibri"/>
                <w:b w:val="0"/>
                <w:i w:val="0"/>
                <w:color w:val="1F2937"/>
                <w:sz w:val="18"/>
              </w:rPr>
              <w:t>Proceed with controls</w:t>
            </w:r>
          </w:p>
        </w:tc>
        <w:tc>
          <w:tcPr>
            <w:tcW w:type="dxa" w:w="4560"/>
            <w:tcMar>
              <w:top w:w="80" w:type="dxa"/>
              <w:start w:w="120" w:type="dxa"/>
              <w:bottom w:w="80" w:type="dxa"/>
              <w:end w:w="120" w:type="dxa"/>
            </w:tcMar>
            <w:vAlign w:val="center"/>
          </w:tcPr>
          <w:p>
            <w:pPr>
              <w:spacing w:after="0"/>
              <w:jc w:val="left"/>
            </w:pPr>
            <w:r>
              <w:rPr>
                <w:rFonts w:ascii="Calibri" w:hAnsi="Calibri"/>
                <w:b w:val="0"/>
                <w:i w:val="0"/>
                <w:color w:val="1F2937"/>
                <w:sz w:val="18"/>
              </w:rPr>
              <w:t>Label as review-only and provide underlying test evidence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6"/>
        <w:sz w:val="17"/>
      </w:rPr>
      <w:t>Mix Optimization Feasibility Assessment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B76"/>
        <w:sz w:val="18"/>
      </w:rPr>
      <w:t>IMTS Concrete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