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17365D"/>
          <w:sz w:val="44"/>
        </w:rPr>
        <w:t>PROJECT QUALITY INTELLIGENCE</w:t>
      </w:r>
    </w:p>
    <w:p>
      <w:pPr>
        <w:spacing w:after="120"/>
        <w:jc w:val="center"/>
      </w:pPr>
      <w:r>
        <w:rPr>
          <w:b/>
          <w:color w:val="44546A"/>
          <w:sz w:val="24"/>
        </w:rPr>
        <w:t>Simple Business Pitch for IMTS Historical Materials Data</w:t>
      </w:r>
    </w:p>
    <w:tbl>
      <w:tblPr>
        <w:tblW w:type="auto" w:w="0"/>
        <w:jc w:val="center"/>
        <w:tblLook w:firstColumn="1" w:firstRow="1" w:lastColumn="0" w:lastRow="0" w:noHBand="0" w:noVBand="1" w:val="04A0"/>
      </w:tblPr>
      <w:tblGrid>
        <w:gridCol w:w="10368"/>
      </w:tblGrid>
      <w:tr>
        <w:tc>
          <w:tcPr>
            <w:tcW w:type="dxa" w:w="10368"/>
            <w:shd w:fill="EAF2F8"/>
            <w:tcMar>
              <w:top w:w="110" w:type="dxa"/>
              <w:start w:w="130" w:type="dxa"/>
              <w:bottom w:w="110" w:type="dxa"/>
              <w:end w:w="130" w:type="dxa"/>
            </w:tcMar>
          </w:tcPr>
          <w:p>
            <w:pPr>
              <w:spacing w:after="0" w:line="223" w:lineRule="auto"/>
            </w:pPr>
            <w:r>
              <w:rPr>
                <w:b/>
                <w:color w:val="17365D"/>
                <w:sz w:val="18"/>
              </w:rPr>
              <w:t>The Opportunity</w:t>
            </w:r>
          </w:p>
          <w:p>
            <w:pPr>
              <w:spacing w:after="0" w:line="223" w:lineRule="auto"/>
            </w:pPr>
            <w:r>
              <w:rPr>
                <w:sz w:val="18"/>
              </w:rPr>
              <w:t>Turn WSP's existing materials-testing data into a client-facing project quality service that helps owners understand current quality, compare similar historical cases, and make faster engineering decisions - without relying on a model to make the decision for them.</w:t>
            </w:r>
          </w:p>
        </w:tc>
      </w:tr>
    </w:tbl>
    <w:p>
      <w:pPr>
        <w:pStyle w:val="Heading1"/>
      </w:pPr>
      <w:r>
        <w:t>What We Could Sell</w:t>
      </w:r>
    </w:p>
    <w:p>
      <w:r>
        <w:rPr>
          <w:b/>
        </w:rPr>
        <w:t xml:space="preserve">An enhanced service attached to materials-testing contracts: </w:t>
      </w:r>
      <w:r>
        <w:t>Project Quality Intelligence.</w:t>
      </w:r>
    </w:p>
    <w:p>
      <w:r>
        <w:t>Instead of giving the client only individual test reports, WSP would also provide a project dashboard built from approved test data. The dashboard would summarize concrete, soil, asphalt, and other materials results and allow the client or engineer to compare a current result with similar historical tests.</w:t>
      </w:r>
    </w:p>
    <w:tbl>
      <w:tblPr>
        <w:tblW w:type="auto" w:w="0"/>
        <w:jc w:val="center"/>
        <w:tblLayout w:type="fixed"/>
        <w:tblLook w:firstColumn="1" w:firstRow="1" w:lastColumn="0" w:lastRow="0" w:noHBand="0" w:noVBand="1" w:val="04A0"/>
      </w:tblPr>
      <w:tblGrid>
        <w:gridCol w:w="3456"/>
        <w:gridCol w:w="3456"/>
        <w:gridCol w:w="3456"/>
      </w:tblGrid>
      <w:tr>
        <w:tc>
          <w:tcPr>
            <w:tcW w:type="dxa" w:w="3456"/>
            <w:shd w:fill="17365D"/>
            <w:tcMar>
              <w:top w:w="80" w:type="dxa"/>
              <w:start w:w="100" w:type="dxa"/>
              <w:bottom w:w="80" w:type="dxa"/>
              <w:end w:w="100" w:type="dxa"/>
            </w:tcMar>
            <w:vAlign w:val="center"/>
          </w:tcPr>
          <w:p>
            <w:pPr>
              <w:spacing w:after="0" w:line="223" w:lineRule="auto"/>
            </w:pPr>
            <w:r>
              <w:rPr>
                <w:b/>
                <w:color w:val="FFFFFF"/>
                <w:sz w:val="18"/>
              </w:rPr>
              <w:t>TODAY</w:t>
            </w:r>
          </w:p>
        </w:tc>
        <w:tc>
          <w:tcPr>
            <w:tcW w:type="dxa" w:w="3456"/>
            <w:shd w:fill="17365D"/>
            <w:tcMar>
              <w:top w:w="80" w:type="dxa"/>
              <w:start w:w="100" w:type="dxa"/>
              <w:bottom w:w="80" w:type="dxa"/>
              <w:end w:w="100" w:type="dxa"/>
            </w:tcMar>
            <w:vAlign w:val="center"/>
          </w:tcPr>
          <w:p>
            <w:pPr>
              <w:spacing w:after="0" w:line="223" w:lineRule="auto"/>
            </w:pPr>
            <w:r>
              <w:rPr>
                <w:b/>
                <w:color w:val="FFFFFF"/>
                <w:sz w:val="18"/>
              </w:rPr>
              <w:t>ENHANCED SERVICE</w:t>
            </w:r>
          </w:p>
        </w:tc>
        <w:tc>
          <w:tcPr>
            <w:tcW w:type="dxa" w:w="3456"/>
            <w:shd w:fill="17365D"/>
            <w:tcMar>
              <w:top w:w="80" w:type="dxa"/>
              <w:start w:w="100" w:type="dxa"/>
              <w:bottom w:w="80" w:type="dxa"/>
              <w:end w:w="100" w:type="dxa"/>
            </w:tcMar>
            <w:vAlign w:val="center"/>
          </w:tcPr>
          <w:p>
            <w:pPr>
              <w:spacing w:after="0" w:line="223" w:lineRule="auto"/>
            </w:pPr>
            <w:r>
              <w:rPr>
                <w:b/>
                <w:color w:val="FFFFFF"/>
                <w:sz w:val="18"/>
              </w:rPr>
              <w:t>CLIENT VALUE</w:t>
            </w:r>
          </w:p>
        </w:tc>
      </w:tr>
      <w:tr>
        <w:tc>
          <w:tcPr>
            <w:tcW w:type="dxa" w:w="3456"/>
            <w:shd w:fill="F7F9FC"/>
            <w:tcMar>
              <w:top w:w="120" w:type="dxa"/>
              <w:start w:w="120" w:type="dxa"/>
              <w:bottom w:w="120" w:type="dxa"/>
              <w:end w:w="120" w:type="dxa"/>
            </w:tcMar>
            <w:vAlign w:val="center"/>
          </w:tcPr>
          <w:p>
            <w:pPr>
              <w:spacing w:after="0" w:line="223" w:lineRule="auto"/>
            </w:pPr>
            <w:r>
              <w:rPr>
                <w:sz w:val="18"/>
              </w:rPr>
              <w:t>Individual approved material test reports</w:t>
            </w:r>
          </w:p>
        </w:tc>
        <w:tc>
          <w:tcPr>
            <w:tcW w:type="dxa" w:w="3456"/>
            <w:shd w:fill="F7F9FC"/>
            <w:tcMar>
              <w:top w:w="120" w:type="dxa"/>
              <w:start w:w="120" w:type="dxa"/>
              <w:bottom w:w="120" w:type="dxa"/>
              <w:end w:w="120" w:type="dxa"/>
            </w:tcMar>
            <w:vAlign w:val="center"/>
          </w:tcPr>
          <w:p>
            <w:pPr>
              <w:spacing w:after="0" w:line="223" w:lineRule="auto"/>
            </w:pPr>
            <w:r>
              <w:rPr>
                <w:sz w:val="18"/>
              </w:rPr>
              <w:t>Dashboard + trends + failures + historical comparison</w:t>
            </w:r>
          </w:p>
        </w:tc>
        <w:tc>
          <w:tcPr>
            <w:tcW w:type="dxa" w:w="3456"/>
            <w:shd w:fill="F7F9FC"/>
            <w:tcMar>
              <w:top w:w="120" w:type="dxa"/>
              <w:start w:w="120" w:type="dxa"/>
              <w:bottom w:w="120" w:type="dxa"/>
              <w:end w:w="120" w:type="dxa"/>
            </w:tcMar>
            <w:vAlign w:val="center"/>
          </w:tcPr>
          <w:p>
            <w:pPr>
              <w:spacing w:after="0" w:line="223" w:lineRule="auto"/>
            </w:pPr>
            <w:r>
              <w:rPr>
                <w:sz w:val="18"/>
              </w:rPr>
              <w:t>Faster understanding of project quality and better decision support</w:t>
            </w:r>
          </w:p>
        </w:tc>
      </w:tr>
    </w:tbl>
    <w:p>
      <w:pPr>
        <w:pStyle w:val="Heading1"/>
      </w:pPr>
      <w:r>
        <w:t>Who Would Buy It</w:t>
      </w:r>
    </w:p>
    <w:p>
      <w:pPr>
        <w:pStyle w:val="ListBullet"/>
        <w:spacing w:after="14" w:line="228" w:lineRule="auto"/>
      </w:pPr>
      <w:r>
        <w:t>State DOTs and transportation agencies managing major infrastructure programs.</w:t>
      </w:r>
    </w:p>
    <w:p>
      <w:pPr>
        <w:pStyle w:val="ListBullet"/>
        <w:spacing w:after="14" w:line="228" w:lineRule="auto"/>
      </w:pPr>
      <w:r>
        <w:t>Municipalities and public owners with ongoing materials-testing requirements.</w:t>
      </w:r>
    </w:p>
    <w:p>
      <w:pPr>
        <w:pStyle w:val="ListBullet"/>
        <w:spacing w:after="14" w:line="228" w:lineRule="auto"/>
      </w:pPr>
      <w:r>
        <w:t>Large infrastructure owners and program managers who need a project-level quality view.</w:t>
      </w:r>
    </w:p>
    <w:p>
      <w:pPr>
        <w:pStyle w:val="ListBullet"/>
        <w:spacing w:after="14" w:line="228" w:lineRule="auto"/>
      </w:pPr>
      <w:r>
        <w:t>Existing WSP materials-testing clients, where this can be added to the current contract.</w:t>
      </w:r>
    </w:p>
    <w:p>
      <w:pPr>
        <w:pStyle w:val="Heading1"/>
      </w:pPr>
      <w:r>
        <w:t>Why They Would Pay</w:t>
      </w:r>
    </w:p>
    <w:p>
      <w:pPr>
        <w:pStyle w:val="ListBullet"/>
        <w:spacing w:after="14" w:line="228" w:lineRule="auto"/>
      </w:pPr>
      <w:r>
        <w:t>Save review time by seeing project quality in one place instead of reading hundreds of reports.</w:t>
      </w:r>
    </w:p>
    <w:p>
      <w:pPr>
        <w:pStyle w:val="ListBullet"/>
        <w:spacing w:after="14" w:line="228" w:lineRule="auto"/>
      </w:pPr>
      <w:r>
        <w:t>Find where failures and recurring concerns are occurring and whether the issue is isolated or repeating.</w:t>
      </w:r>
    </w:p>
    <w:p>
      <w:pPr>
        <w:pStyle w:val="ListBullet"/>
        <w:spacing w:after="14" w:line="228" w:lineRule="auto"/>
      </w:pPr>
      <w:r>
        <w:t>Compare current test conditions with actual historical outcomes from similar cases.</w:t>
      </w:r>
    </w:p>
    <w:p>
      <w:pPr>
        <w:pStyle w:val="ListBullet"/>
        <w:spacing w:after="14" w:line="228" w:lineRule="auto"/>
      </w:pPr>
      <w:r>
        <w:t>Give engineers better evidence while keeping the final engineering judgment with them.</w:t>
      </w:r>
    </w:p>
    <w:p>
      <w:pPr>
        <w:pStyle w:val="ListBullet"/>
        <w:spacing w:after="14" w:line="228" w:lineRule="auto"/>
      </w:pPr>
      <w:r>
        <w:t>Turn testing data that already exists into a higher-value consulting deliverable.</w:t>
      </w:r>
    </w:p>
    <w:p>
      <w:pPr>
        <w:pStyle w:val="Heading1"/>
      </w:pPr>
      <w:r>
        <w:t>What Makes the Historical Comparison Valuable</w:t>
      </w:r>
    </w:p>
    <w:p>
      <w:r>
        <w:rPr>
          <w:b/>
        </w:rPr>
        <w:t xml:space="preserve">Example: </w:t>
      </w:r>
      <w:r>
        <w:t>A current concrete placement has a 7-day strength that seems low. Rather than predicting whether it will fail at 28 days, the dashboard can find approved historical tests with similar required strength, slump, air, temperature, supplier, placement type, and 7-day strength.</w:t>
      </w:r>
    </w:p>
    <w:tbl>
      <w:tblPr>
        <w:tblStyle w:val="TableGrid"/>
        <w:tblW w:type="auto" w:w="0"/>
        <w:jc w:val="center"/>
        <w:tblLook w:firstColumn="1" w:firstRow="1" w:lastColumn="0" w:lastRow="0" w:noHBand="0" w:noVBand="1" w:val="04A0"/>
      </w:tblPr>
      <w:tblGrid>
        <w:gridCol w:w="5184"/>
        <w:gridCol w:w="5184"/>
      </w:tblGrid>
      <w:tr>
        <w:tc>
          <w:tcPr>
            <w:tcW w:type="dxa" w:w="5184"/>
            <w:shd w:fill="2F5597"/>
            <w:tcMar>
              <w:top w:w="80" w:type="dxa"/>
              <w:start w:w="100" w:type="dxa"/>
              <w:bottom w:w="80" w:type="dxa"/>
              <w:end w:w="100" w:type="dxa"/>
            </w:tcMar>
          </w:tcPr>
          <w:p>
            <w:pPr>
              <w:spacing w:after="0" w:line="223" w:lineRule="auto"/>
            </w:pPr>
            <w:r>
              <w:rPr>
                <w:b/>
                <w:color w:val="FFFFFF"/>
                <w:sz w:val="18"/>
              </w:rPr>
              <w:t>Engineer / Client Question</w:t>
            </w:r>
          </w:p>
        </w:tc>
        <w:tc>
          <w:tcPr>
            <w:tcW w:type="dxa" w:w="5184"/>
            <w:shd w:fill="2F5597"/>
            <w:tcMar>
              <w:top w:w="80" w:type="dxa"/>
              <w:start w:w="100" w:type="dxa"/>
              <w:bottom w:w="80" w:type="dxa"/>
              <w:end w:w="100" w:type="dxa"/>
            </w:tcMar>
          </w:tcPr>
          <w:p>
            <w:pPr>
              <w:spacing w:after="0" w:line="223" w:lineRule="auto"/>
            </w:pPr>
            <w:r>
              <w:rPr>
                <w:b/>
                <w:color w:val="FFFFFF"/>
                <w:sz w:val="18"/>
              </w:rPr>
              <w:t>Dashboard Response</w:t>
            </w:r>
          </w:p>
        </w:tc>
      </w:tr>
      <w:tr>
        <w:tc>
          <w:tcPr>
            <w:tcW w:type="dxa" w:w="5184"/>
            <w:tcMar>
              <w:top w:w="90" w:type="dxa"/>
              <w:start w:w="100" w:type="dxa"/>
              <w:bottom w:w="90" w:type="dxa"/>
              <w:end w:w="100" w:type="dxa"/>
            </w:tcMar>
          </w:tcPr>
          <w:p>
            <w:pPr>
              <w:spacing w:after="0" w:line="223" w:lineRule="auto"/>
            </w:pPr>
            <w:r>
              <w:rPr>
                <w:sz w:val="18"/>
              </w:rPr>
              <w:t>What happened in similar historical cases?</w:t>
            </w:r>
          </w:p>
        </w:tc>
        <w:tc>
          <w:tcPr>
            <w:tcW w:type="dxa" w:w="5184"/>
            <w:tcMar>
              <w:top w:w="90" w:type="dxa"/>
              <w:start w:w="100" w:type="dxa"/>
              <w:bottom w:w="90" w:type="dxa"/>
              <w:end w:w="100" w:type="dxa"/>
            </w:tcMar>
          </w:tcPr>
          <w:p>
            <w:pPr>
              <w:spacing w:after="0" w:line="223" w:lineRule="auto"/>
            </w:pPr>
            <w:r>
              <w:rPr>
                <w:sz w:val="18"/>
              </w:rPr>
              <w:t>1,284 similar tests found; 96.3% met the 28-day requirement.</w:t>
            </w:r>
          </w:p>
        </w:tc>
      </w:tr>
      <w:tr>
        <w:tc>
          <w:tcPr>
            <w:tcW w:type="dxa" w:w="5184"/>
            <w:tcMar>
              <w:top w:w="90" w:type="dxa"/>
              <w:start w:w="100" w:type="dxa"/>
              <w:bottom w:w="90" w:type="dxa"/>
              <w:end w:w="100" w:type="dxa"/>
            </w:tcMar>
          </w:tcPr>
          <w:p>
            <w:pPr>
              <w:spacing w:after="0" w:line="223" w:lineRule="auto"/>
            </w:pPr>
            <w:r>
              <w:rPr>
                <w:sz w:val="18"/>
              </w:rPr>
              <w:t>Our 7-day strength is low. What happened later in similar cases?</w:t>
            </w:r>
          </w:p>
        </w:tc>
        <w:tc>
          <w:tcPr>
            <w:tcW w:type="dxa" w:w="5184"/>
            <w:tcMar>
              <w:top w:w="90" w:type="dxa"/>
              <w:start w:w="100" w:type="dxa"/>
              <w:bottom w:w="90" w:type="dxa"/>
              <w:end w:w="100" w:type="dxa"/>
            </w:tcMar>
          </w:tcPr>
          <w:p>
            <w:pPr>
              <w:spacing w:after="0" w:line="223" w:lineRule="auto"/>
            </w:pPr>
            <w:r>
              <w:rPr>
                <w:sz w:val="18"/>
              </w:rPr>
              <w:t>843 comparable cases; 791 reached the required 28-day strength and 52 did not.</w:t>
            </w:r>
          </w:p>
        </w:tc>
      </w:tr>
      <w:tr>
        <w:tc>
          <w:tcPr>
            <w:tcW w:type="dxa" w:w="5184"/>
            <w:tcMar>
              <w:top w:w="90" w:type="dxa"/>
              <w:start w:w="100" w:type="dxa"/>
              <w:bottom w:w="90" w:type="dxa"/>
              <w:end w:w="100" w:type="dxa"/>
            </w:tcMar>
          </w:tcPr>
          <w:p>
            <w:pPr>
              <w:spacing w:after="0" w:line="223" w:lineRule="auto"/>
            </w:pPr>
            <w:r>
              <w:rPr>
                <w:sz w:val="18"/>
              </w:rPr>
              <w:t>How has this supplier performed under comparable conditions?</w:t>
            </w:r>
          </w:p>
        </w:tc>
        <w:tc>
          <w:tcPr>
            <w:tcW w:type="dxa" w:w="5184"/>
            <w:tcMar>
              <w:top w:w="90" w:type="dxa"/>
              <w:start w:w="100" w:type="dxa"/>
              <w:bottom w:w="90" w:type="dxa"/>
              <w:end w:w="100" w:type="dxa"/>
            </w:tcMar>
          </w:tcPr>
          <w:p>
            <w:pPr>
              <w:spacing w:after="0" w:line="223" w:lineRule="auto"/>
            </w:pPr>
            <w:r>
              <w:rPr>
                <w:sz w:val="18"/>
              </w:rPr>
              <w:t>Show supplier pass rates only after applying comparable strength, placement, slump, air, and temperature filters.</w:t>
            </w:r>
          </w:p>
        </w:tc>
      </w:tr>
      <w:tr>
        <w:tc>
          <w:tcPr>
            <w:tcW w:type="dxa" w:w="5184"/>
            <w:tcMar>
              <w:top w:w="90" w:type="dxa"/>
              <w:start w:w="100" w:type="dxa"/>
              <w:bottom w:w="90" w:type="dxa"/>
              <w:end w:w="100" w:type="dxa"/>
            </w:tcMar>
          </w:tcPr>
          <w:p>
            <w:pPr>
              <w:spacing w:after="0" w:line="223" w:lineRule="auto"/>
            </w:pPr>
            <w:r>
              <w:rPr>
                <w:sz w:val="18"/>
              </w:rPr>
              <w:t>Is this failure unusual?</w:t>
            </w:r>
          </w:p>
        </w:tc>
        <w:tc>
          <w:tcPr>
            <w:tcW w:type="dxa" w:w="5184"/>
            <w:tcMar>
              <w:top w:w="90" w:type="dxa"/>
              <w:start w:w="100" w:type="dxa"/>
              <w:bottom w:w="90" w:type="dxa"/>
              <w:end w:w="100" w:type="dxa"/>
            </w:tcMar>
          </w:tcPr>
          <w:p>
            <w:pPr>
              <w:spacing w:after="0" w:line="223" w:lineRule="auto"/>
            </w:pPr>
            <w:r>
              <w:rPr>
                <w:sz w:val="18"/>
              </w:rPr>
              <w:t>482 comparable historical tests; historical failure rate was 2.7%.</w:t>
            </w:r>
          </w:p>
        </w:tc>
      </w:tr>
    </w:tbl>
    <w:p/>
    <w:tbl>
      <w:tblPr>
        <w:tblW w:type="auto" w:w="0"/>
        <w:jc w:val="center"/>
        <w:tblLook w:firstColumn="1" w:firstRow="1" w:lastColumn="0" w:lastRow="0" w:noHBand="0" w:noVBand="1" w:val="04A0"/>
      </w:tblPr>
      <w:tblGrid>
        <w:gridCol w:w="10368"/>
      </w:tblGrid>
      <w:tr>
        <w:tc>
          <w:tcPr>
            <w:tcW w:type="dxa" w:w="10368"/>
            <w:shd w:fill="E2F0D9"/>
            <w:tcMar>
              <w:top w:w="110" w:type="dxa"/>
              <w:start w:w="130" w:type="dxa"/>
              <w:bottom w:w="110" w:type="dxa"/>
              <w:end w:w="130" w:type="dxa"/>
            </w:tcMar>
          </w:tcPr>
          <w:p>
            <w:pPr>
              <w:spacing w:after="0" w:line="223" w:lineRule="auto"/>
            </w:pPr>
            <w:r>
              <w:rPr>
                <w:b/>
                <w:color w:val="548235"/>
                <w:sz w:val="18"/>
              </w:rPr>
              <w:t>Key Positioning</w:t>
            </w:r>
          </w:p>
          <w:p>
            <w:pPr>
              <w:spacing w:after="0" w:line="223" w:lineRule="auto"/>
            </w:pPr>
            <w:r>
              <w:rPr>
                <w:sz w:val="18"/>
              </w:rPr>
              <w:t>We are not telling the client what will happen. We are showing what actually happened in comparable approved historical tests so the engineer can make a better-informed decision.</w:t>
            </w:r>
          </w:p>
        </w:tc>
      </w:tr>
    </w:tbl>
    <w:p>
      <w:pPr>
        <w:pStyle w:val="Heading1"/>
      </w:pPr>
      <w:r>
        <w:t>Why This May Be a Better First Commercial Offer Than Prediction</w:t>
      </w:r>
    </w:p>
    <w:p>
      <w:r>
        <w:rPr>
          <w:b/>
        </w:rPr>
        <w:t xml:space="preserve">Predictive Quality and Mix Optimization can remain part of the longer-term roadmap. </w:t>
      </w:r>
      <w:r>
        <w:t>However, a client-facing prediction can create false alarms, unnecessary review, and questions about responsibility if the prediction is wrong. Historical comparison is easier to explain: it presents observed past results and leaves the final interpretation to the engineer.</w:t>
      </w:r>
    </w:p>
    <w:p>
      <w:pPr>
        <w:pStyle w:val="Heading1"/>
      </w:pPr>
      <w:r>
        <w:t>How It Could Generate New Revenue</w:t>
      </w:r>
    </w:p>
    <w:tbl>
      <w:tblPr>
        <w:tblStyle w:val="TableGrid"/>
        <w:tblW w:type="auto" w:w="0"/>
        <w:jc w:val="center"/>
        <w:tblLook w:firstColumn="1" w:firstRow="1" w:lastColumn="0" w:lastRow="0" w:noHBand="0" w:noVBand="1" w:val="04A0"/>
      </w:tblPr>
      <w:tblGrid>
        <w:gridCol w:w="5184"/>
        <w:gridCol w:w="5184"/>
      </w:tblGrid>
      <w:tr>
        <w:tc>
          <w:tcPr>
            <w:tcW w:type="dxa" w:w="5184"/>
            <w:shd w:fill="17365D"/>
            <w:tcMar>
              <w:top w:w="80" w:type="dxa"/>
              <w:start w:w="100" w:type="dxa"/>
              <w:bottom w:w="80" w:type="dxa"/>
              <w:end w:w="100" w:type="dxa"/>
            </w:tcMar>
          </w:tcPr>
          <w:p>
            <w:pPr>
              <w:spacing w:after="0" w:line="223" w:lineRule="auto"/>
            </w:pPr>
            <w:r>
              <w:rPr>
                <w:b/>
                <w:color w:val="FFFFFF"/>
                <w:sz w:val="18"/>
              </w:rPr>
              <w:t>Commercial Model</w:t>
            </w:r>
          </w:p>
        </w:tc>
        <w:tc>
          <w:tcPr>
            <w:tcW w:type="dxa" w:w="5184"/>
            <w:shd w:fill="17365D"/>
            <w:tcMar>
              <w:top w:w="80" w:type="dxa"/>
              <w:start w:w="100" w:type="dxa"/>
              <w:bottom w:w="80" w:type="dxa"/>
              <w:end w:w="100" w:type="dxa"/>
            </w:tcMar>
          </w:tcPr>
          <w:p>
            <w:pPr>
              <w:spacing w:after="0" w:line="223" w:lineRule="auto"/>
            </w:pPr>
            <w:r>
              <w:rPr>
                <w:b/>
                <w:color w:val="FFFFFF"/>
                <w:sz w:val="18"/>
              </w:rPr>
              <w:t>Example</w:t>
            </w:r>
          </w:p>
        </w:tc>
      </w:tr>
      <w:tr>
        <w:tc>
          <w:tcPr>
            <w:tcW w:type="dxa" w:w="5184"/>
            <w:tcMar>
              <w:top w:w="80" w:type="dxa"/>
              <w:start w:w="100" w:type="dxa"/>
              <w:bottom w:w="80" w:type="dxa"/>
              <w:end w:w="100" w:type="dxa"/>
            </w:tcMar>
          </w:tcPr>
          <w:p>
            <w:pPr>
              <w:spacing w:after="0" w:line="223" w:lineRule="auto"/>
            </w:pPr>
            <w:r>
              <w:rPr>
                <w:sz w:val="18"/>
              </w:rPr>
              <w:t>Premium contract line item</w:t>
            </w:r>
          </w:p>
        </w:tc>
        <w:tc>
          <w:tcPr>
            <w:tcW w:type="dxa" w:w="5184"/>
            <w:tcMar>
              <w:top w:w="80" w:type="dxa"/>
              <w:start w:w="100" w:type="dxa"/>
              <w:bottom w:w="80" w:type="dxa"/>
              <w:end w:w="100" w:type="dxa"/>
            </w:tcMar>
          </w:tcPr>
          <w:p>
            <w:pPr>
              <w:spacing w:after="0" w:line="223" w:lineRule="auto"/>
            </w:pPr>
            <w:r>
              <w:rPr>
                <w:sz w:val="18"/>
              </w:rPr>
              <w:t>Enhanced Materials Analytics / Project Quality Dashboard added to a materials-testing proposal.</w:t>
            </w:r>
          </w:p>
        </w:tc>
      </w:tr>
      <w:tr>
        <w:tc>
          <w:tcPr>
            <w:tcW w:type="dxa" w:w="5184"/>
            <w:tcMar>
              <w:top w:w="80" w:type="dxa"/>
              <w:start w:w="100" w:type="dxa"/>
              <w:bottom w:w="80" w:type="dxa"/>
              <w:end w:w="100" w:type="dxa"/>
            </w:tcMar>
          </w:tcPr>
          <w:p>
            <w:pPr>
              <w:spacing w:after="0" w:line="223" w:lineRule="auto"/>
            </w:pPr>
            <w:r>
              <w:rPr>
                <w:sz w:val="18"/>
              </w:rPr>
              <w:t>Project setup fee</w:t>
            </w:r>
          </w:p>
        </w:tc>
        <w:tc>
          <w:tcPr>
            <w:tcW w:type="dxa" w:w="5184"/>
            <w:tcMar>
              <w:top w:w="80" w:type="dxa"/>
              <w:start w:w="100" w:type="dxa"/>
              <w:bottom w:w="80" w:type="dxa"/>
              <w:end w:w="100" w:type="dxa"/>
            </w:tcMar>
          </w:tcPr>
          <w:p>
            <w:pPr>
              <w:spacing w:after="0" w:line="223" w:lineRule="auto"/>
            </w:pPr>
            <w:r>
              <w:rPr>
                <w:sz w:val="18"/>
              </w:rPr>
              <w:t>Configure project dashboard, client access, test categories, filters, and reporting.</w:t>
            </w:r>
          </w:p>
        </w:tc>
      </w:tr>
      <w:tr>
        <w:tc>
          <w:tcPr>
            <w:tcW w:type="dxa" w:w="5184"/>
            <w:tcMar>
              <w:top w:w="80" w:type="dxa"/>
              <w:start w:w="100" w:type="dxa"/>
              <w:bottom w:w="80" w:type="dxa"/>
              <w:end w:w="100" w:type="dxa"/>
            </w:tcMar>
          </w:tcPr>
          <w:p>
            <w:pPr>
              <w:spacing w:after="0" w:line="223" w:lineRule="auto"/>
            </w:pPr>
            <w:r>
              <w:rPr>
                <w:sz w:val="18"/>
              </w:rPr>
              <w:t>Recurring project fee</w:t>
            </w:r>
          </w:p>
        </w:tc>
        <w:tc>
          <w:tcPr>
            <w:tcW w:type="dxa" w:w="5184"/>
            <w:tcMar>
              <w:top w:w="80" w:type="dxa"/>
              <w:start w:w="100" w:type="dxa"/>
              <w:bottom w:w="80" w:type="dxa"/>
              <w:end w:w="100" w:type="dxa"/>
            </w:tcMar>
          </w:tcPr>
          <w:p>
            <w:pPr>
              <w:spacing w:after="0" w:line="223" w:lineRule="auto"/>
            </w:pPr>
            <w:r>
              <w:rPr>
                <w:sz w:val="18"/>
              </w:rPr>
              <w:t>Monthly or quarterly dashboard, analytics, and quality-summary service.</w:t>
            </w:r>
          </w:p>
        </w:tc>
      </w:tr>
      <w:tr>
        <w:tc>
          <w:tcPr>
            <w:tcW w:type="dxa" w:w="5184"/>
            <w:tcMar>
              <w:top w:w="80" w:type="dxa"/>
              <w:start w:w="100" w:type="dxa"/>
              <w:bottom w:w="80" w:type="dxa"/>
              <w:end w:w="100" w:type="dxa"/>
            </w:tcMar>
          </w:tcPr>
          <w:p>
            <w:pPr>
              <w:spacing w:after="0" w:line="223" w:lineRule="auto"/>
            </w:pPr>
            <w:r>
              <w:rPr>
                <w:sz w:val="18"/>
              </w:rPr>
              <w:t>Engineering review add-on</w:t>
            </w:r>
          </w:p>
        </w:tc>
        <w:tc>
          <w:tcPr>
            <w:tcW w:type="dxa" w:w="5184"/>
            <w:tcMar>
              <w:top w:w="80" w:type="dxa"/>
              <w:start w:w="100" w:type="dxa"/>
              <w:bottom w:w="80" w:type="dxa"/>
              <w:end w:w="100" w:type="dxa"/>
            </w:tcMar>
          </w:tcPr>
          <w:p>
            <w:pPr>
              <w:spacing w:after="0" w:line="223" w:lineRule="auto"/>
            </w:pPr>
            <w:r>
              <w:rPr>
                <w:sz w:val="18"/>
              </w:rPr>
              <w:t>Periodic WSP engineer review of trends, recurring concerns, and historical comparisons.</w:t>
            </w:r>
          </w:p>
        </w:tc>
      </w:tr>
      <w:tr>
        <w:tc>
          <w:tcPr>
            <w:tcW w:type="dxa" w:w="5184"/>
            <w:tcMar>
              <w:top w:w="80" w:type="dxa"/>
              <w:start w:w="100" w:type="dxa"/>
              <w:bottom w:w="80" w:type="dxa"/>
              <w:end w:w="100" w:type="dxa"/>
            </w:tcMar>
          </w:tcPr>
          <w:p>
            <w:pPr>
              <w:spacing w:after="0" w:line="223" w:lineRule="auto"/>
            </w:pPr>
            <w:r>
              <w:rPr>
                <w:sz w:val="18"/>
              </w:rPr>
              <w:t>Program / enterprise service</w:t>
            </w:r>
          </w:p>
        </w:tc>
        <w:tc>
          <w:tcPr>
            <w:tcW w:type="dxa" w:w="5184"/>
            <w:tcMar>
              <w:top w:w="80" w:type="dxa"/>
              <w:start w:w="100" w:type="dxa"/>
              <w:bottom w:w="80" w:type="dxa"/>
              <w:end w:w="100" w:type="dxa"/>
            </w:tcMar>
          </w:tcPr>
          <w:p>
            <w:pPr>
              <w:spacing w:after="0" w:line="223" w:lineRule="auto"/>
            </w:pPr>
            <w:r>
              <w:rPr>
                <w:sz w:val="18"/>
              </w:rPr>
              <w:t>Multi-project view for a DOT or large owner managing a portfolio of projects.</w:t>
            </w:r>
          </w:p>
        </w:tc>
      </w:tr>
    </w:tbl>
    <w:p>
      <w:pPr>
        <w:pStyle w:val="Heading1"/>
      </w:pPr>
      <w:r>
        <w:t>Why WSP Can Be Different</w:t>
      </w:r>
    </w:p>
    <w:p>
      <w:pPr>
        <w:pStyle w:val="ListBullet"/>
        <w:spacing w:after="14" w:line="228" w:lineRule="auto"/>
      </w:pPr>
      <w:r>
        <w:t>WSP already performs the material testing.</w:t>
      </w:r>
    </w:p>
    <w:p>
      <w:pPr>
        <w:pStyle w:val="ListBullet"/>
        <w:spacing w:after="14" w:line="228" w:lineRule="auto"/>
      </w:pPr>
      <w:r>
        <w:t>WSP already has the historical testing data in IMTS.</w:t>
      </w:r>
    </w:p>
    <w:p>
      <w:pPr>
        <w:pStyle w:val="ListBullet"/>
        <w:spacing w:after="14" w:line="228" w:lineRule="auto"/>
      </w:pPr>
      <w:r>
        <w:t>WSP has materials engineers who understand what the data means in the field.</w:t>
      </w:r>
    </w:p>
    <w:p>
      <w:pPr>
        <w:pStyle w:val="ListBullet"/>
        <w:spacing w:after="14" w:line="228" w:lineRule="auto"/>
      </w:pPr>
      <w:r>
        <w:t>WSP already has client relationships and active testing contracts.</w:t>
      </w:r>
    </w:p>
    <w:p>
      <w:r>
        <w:rPr>
          <w:b/>
        </w:rPr>
        <w:t xml:space="preserve">The advantage is the combination of </w:t>
      </w:r>
      <w:r>
        <w:t>data + engineering expertise + existing client relationship.</w:t>
      </w:r>
      <w:r>
        <w:t xml:space="preserve"> A dashboard alone is easy to copy; that combination is harder to copy.</w:t>
      </w:r>
    </w:p>
    <w:p>
      <w:pPr>
        <w:pStyle w:val="Heading1"/>
      </w:pPr>
      <w:r>
        <w:t>Simple Pitch</w:t>
      </w:r>
    </w:p>
    <w:tbl>
      <w:tblPr>
        <w:tblW w:type="auto" w:w="0"/>
        <w:jc w:val="center"/>
        <w:tblLook w:firstColumn="1" w:firstRow="1" w:lastColumn="0" w:lastRow="0" w:noHBand="0" w:noVBand="1" w:val="04A0"/>
      </w:tblPr>
      <w:tblGrid>
        <w:gridCol w:w="10368"/>
      </w:tblGrid>
      <w:tr>
        <w:tc>
          <w:tcPr>
            <w:tcW w:type="dxa" w:w="10368"/>
            <w:shd w:fill="DDEBF7"/>
            <w:tcMar>
              <w:top w:w="110" w:type="dxa"/>
              <w:start w:w="130" w:type="dxa"/>
              <w:bottom w:w="110" w:type="dxa"/>
              <w:end w:w="130" w:type="dxa"/>
            </w:tcMar>
          </w:tcPr>
          <w:p>
            <w:pPr>
              <w:spacing w:after="0" w:line="223" w:lineRule="auto"/>
            </w:pPr>
            <w:r>
              <w:rPr>
                <w:b/>
                <w:color w:val="17365D"/>
                <w:sz w:val="18"/>
              </w:rPr>
              <w:t>30-Second Version</w:t>
            </w:r>
          </w:p>
          <w:p>
            <w:pPr>
              <w:spacing w:after="0" w:line="223" w:lineRule="auto"/>
            </w:pPr>
            <w:r>
              <w:rPr>
                <w:sz w:val="18"/>
              </w:rPr>
              <w:t>WSP already collects extensive materials-testing data, but clients mainly receive individual reports. We can turn that data into a premium Project Quality Intelligence service: a dashboard showing project quality, failures, trends, and outcomes from comparable historical tests. Clients get faster, better-informed decisions while engineers keep the final judgment. The service can be sold as an add-on to existing testing contracts and later expanded to program-level analytics.</w:t>
            </w:r>
          </w:p>
        </w:tc>
      </w:tr>
    </w:tbl>
    <w:p>
      <w:pPr>
        <w:pStyle w:val="Heading1"/>
      </w:pPr>
      <w:r>
        <w:t>Recommended Next Step</w:t>
      </w:r>
    </w:p>
    <w:p>
      <w:r>
        <w:rPr>
          <w:b/>
        </w:rPr>
        <w:t xml:space="preserve">Pilot the concept on one active concrete project. </w:t>
      </w:r>
      <w:r>
        <w:t>Build a simple client-style dashboard using approved IMTS data, demonstrate historical comparison on a few real engineering questions, and use the pilot to test client interest and pricing before investing heavily in predictive features.</w:t>
      </w:r>
    </w:p>
    <w:sectPr w:rsidR="00FC693F" w:rsidRPr="0006063C" w:rsidSect="00034616">
      <w:footerReference w:type="default" r:id="rId9"/>
      <w:pgSz w:w="12240" w:h="15840"/>
      <w:pgMar w:top="605"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IMTS Project Quality Intelligence | Simple Business Pitch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3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ptos Display" w:hAnsi="Aptos Display"/>
      <w:b/>
      <w:bCs/>
      <w:color w:val="17365D"/>
      <w:sz w:val="27"/>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w:hAnsi="Aptos"/>
      <w:b/>
      <w:bCs/>
      <w:color w:val="2F5597"/>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40"/>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