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2"/>
        </w:rPr>
        <w:t>WHAT WE CAN DO WITH IMTS HISTORICAL MATERIALS DATA</w:t>
      </w:r>
    </w:p>
    <w:p>
      <w:pPr>
        <w:spacing w:after="140"/>
        <w:jc w:val="center"/>
      </w:pPr>
      <w:r>
        <w:rPr>
          <w:b/>
          <w:color w:val="44546A"/>
          <w:sz w:val="23"/>
        </w:rPr>
        <w:t>Business Opportunity Discussion</w:t>
      </w:r>
    </w:p>
    <w:p>
      <w:pPr>
        <w:pStyle w:val="Heading1"/>
      </w:pPr>
      <w:r>
        <w:t>Executive Summary</w:t>
      </w:r>
    </w:p>
    <w:p>
      <w:r>
        <w:rPr>
          <w:b/>
        </w:rPr>
        <w:t xml:space="preserve">IMTS already contains years of materials testing data. </w:t>
      </w:r>
      <w:r>
        <w:t>The opportunity is to use this history to give engineers and clients more context around current results. Instead of looking only at one report, they could see what happened in similar past cases.</w:t>
      </w:r>
    </w:p>
    <w:p>
      <w:r>
        <w:rPr>
          <w:b/>
        </w:rPr>
        <w:t xml:space="preserve">Concrete is the best first example </w:t>
      </w:r>
      <w:r>
        <w:t>because we understand the data better and can already connect field measurements, strength results, suppliers, mixes, and some batch information. The same general idea may later be useful for soil, asphalt, and aggregate, but those areas should be reviewed with materials engineers before we define detailed use cases.</w:t>
      </w:r>
    </w:p>
    <w:p>
      <w:r>
        <w:rPr>
          <w:b/>
        </w:rPr>
        <w:t xml:space="preserve">Business value: </w:t>
      </w:r>
      <w:r>
        <w:t>this could make WSP's materials testing service more useful and more different from competitors. It may help us provide better client service, save engineer review time, and support more work in the future.</w:t>
      </w:r>
    </w:p>
    <w:tbl>
      <w:tblPr>
        <w:tblW w:type="auto" w:w="0"/>
        <w:jc w:val="center"/>
        <w:tblLook w:firstColumn="1" w:firstRow="1" w:lastColumn="0" w:lastRow="0" w:noHBand="0" w:noVBand="1" w:val="04A0"/>
      </w:tblPr>
      <w:tblGrid>
        <w:gridCol w:w="10368"/>
      </w:tblGrid>
      <w:tr>
        <w:tc>
          <w:tcPr>
            <w:tcW w:type="dxa" w:w="10368"/>
            <w:shd w:fill="EAF2F8"/>
            <w:tcMar>
              <w:top w:w="110" w:type="dxa"/>
              <w:start w:w="130" w:type="dxa"/>
              <w:bottom w:w="110" w:type="dxa"/>
              <w:end w:w="130" w:type="dxa"/>
            </w:tcMar>
          </w:tcPr>
          <w:p>
            <w:pPr>
              <w:spacing w:after="40"/>
            </w:pPr>
            <w:r>
              <w:rPr>
                <w:b/>
                <w:color w:val="17365D"/>
              </w:rPr>
              <w:t>Main idea</w:t>
            </w:r>
          </w:p>
          <w:p>
            <w:pPr>
              <w:spacing w:after="0"/>
            </w:pPr>
            <w:r>
              <w:t>Use IMTS historical data as a starting point. Show the most relevant past evidence, then let the engineer decide what to review or investigate further.</w:t>
            </w:r>
          </w:p>
        </w:tc>
      </w:tr>
    </w:tbl>
    <w:p>
      <w:pPr>
        <w:pStyle w:val="Heading1"/>
      </w:pPr>
      <w:r>
        <w:t>1. Historical Materials Intelligence</w:t>
      </w:r>
    </w:p>
    <w:p>
      <w:r>
        <w:t>When an engineer reviews a current test, IMTS could filter historical records and show comparable past results.</w:t>
      </w:r>
    </w:p>
    <w:p>
      <w:pPr>
        <w:pStyle w:val="ListBullet"/>
        <w:spacing w:after="30"/>
      </w:pPr>
      <w:r>
        <w:t>How many similar historical records were found.</w:t>
      </w:r>
    </w:p>
    <w:p>
      <w:pPr>
        <w:pStyle w:val="ListBullet"/>
        <w:spacing w:after="30"/>
      </w:pPr>
      <w:r>
        <w:t>The actual past results, ranges, and pass/fail outcomes.</w:t>
      </w:r>
    </w:p>
    <w:p>
      <w:pPr>
        <w:pStyle w:val="ListBullet"/>
        <w:spacing w:after="30"/>
      </w:pPr>
      <w:r>
        <w:t>Project-level trends and exceptions from approved test results.</w:t>
      </w:r>
    </w:p>
    <w:p>
      <w:pPr>
        <w:pStyle w:val="ListBullet"/>
        <w:spacing w:after="30"/>
      </w:pPr>
      <w:r>
        <w:t>Filters that the engineer can narrow or broaden.</w:t>
      </w:r>
    </w:p>
    <w:p>
      <w:pPr>
        <w:pStyle w:val="ListBullet"/>
        <w:spacing w:after="30"/>
      </w:pPr>
      <w:r>
        <w:t>The final interpretation stays with the engineer.</w:t>
      </w:r>
    </w:p>
    <w:p>
      <w:pPr>
        <w:pStyle w:val="Heading1"/>
      </w:pPr>
      <w:r>
        <w:t>2. Concrete Quality Intelligence</w:t>
      </w:r>
    </w:p>
    <w:p>
      <w:r>
        <w:t>Concrete can show the idea clearly because IMTS may contain required strength, slump, air, concrete temperature, supplier, mix, placement information, curing information, and 7-day and 28-day strength results.</w:t>
      </w:r>
    </w:p>
    <w:p>
      <w:pPr>
        <w:pStyle w:val="Heading2"/>
      </w:pPr>
      <w:r>
        <w:t>Example questions</w:t>
      </w:r>
    </w:p>
    <w:tbl>
      <w:tblPr>
        <w:tblStyle w:val="TableGrid"/>
        <w:tblW w:type="auto" w:w="0"/>
        <w:jc w:val="center"/>
        <w:tblLook w:firstColumn="1" w:firstRow="1" w:lastColumn="0" w:lastRow="0" w:noHBand="0" w:noVBand="1" w:val="04A0"/>
      </w:tblPr>
      <w:tblGrid>
        <w:gridCol w:w="5184"/>
        <w:gridCol w:w="5184"/>
      </w:tblGrid>
      <w:tr>
        <w:tc>
          <w:tcPr>
            <w:tcW w:type="dxa" w:w="5184"/>
            <w:shd w:fill="17365D"/>
            <w:tcMar>
              <w:top w:w="80" w:type="dxa"/>
              <w:start w:w="100" w:type="dxa"/>
              <w:bottom w:w="80" w:type="dxa"/>
              <w:end w:w="100" w:type="dxa"/>
            </w:tcMar>
          </w:tcPr>
          <w:p>
            <w:r>
              <w:rPr>
                <w:b/>
                <w:color w:val="FFFFFF"/>
              </w:rPr>
              <w:t>Engineer question</w:t>
            </w:r>
          </w:p>
        </w:tc>
        <w:tc>
          <w:tcPr>
            <w:tcW w:type="dxa" w:w="5184"/>
            <w:shd w:fill="17365D"/>
            <w:tcMar>
              <w:top w:w="80" w:type="dxa"/>
              <w:start w:w="100" w:type="dxa"/>
              <w:bottom w:w="80" w:type="dxa"/>
              <w:end w:w="100" w:type="dxa"/>
            </w:tcMar>
          </w:tcPr>
          <w:p>
            <w:r>
              <w:rPr>
                <w:b/>
                <w:color w:val="FFFFFF"/>
              </w:rPr>
              <w:t>What IMTS could show</w:t>
            </w:r>
          </w:p>
        </w:tc>
      </w:tr>
      <w:tr>
        <w:tc>
          <w:tcPr>
            <w:tcW w:type="dxa" w:w="5184"/>
            <w:tcMar>
              <w:top w:w="80" w:type="dxa"/>
              <w:start w:w="90" w:type="dxa"/>
              <w:bottom w:w="80" w:type="dxa"/>
              <w:end w:w="90" w:type="dxa"/>
            </w:tcMar>
            <w:vAlign w:val="center"/>
          </w:tcPr>
          <w:p>
            <w:r>
              <w:t>What happened in similar historical cases?</w:t>
            </w:r>
          </w:p>
        </w:tc>
        <w:tc>
          <w:tcPr>
            <w:tcW w:type="dxa" w:w="5184"/>
            <w:tcMar>
              <w:top w:w="80" w:type="dxa"/>
              <w:start w:w="90" w:type="dxa"/>
              <w:bottom w:w="80" w:type="dxa"/>
              <w:end w:w="90" w:type="dxa"/>
            </w:tcMar>
            <w:vAlign w:val="center"/>
          </w:tcPr>
          <w:p>
            <w:r>
              <w:t>Number of similar tests, 28-day results, average strength, range, and pass/fail outcomes.</w:t>
            </w:r>
          </w:p>
        </w:tc>
      </w:tr>
      <w:tr>
        <w:tc>
          <w:tcPr>
            <w:tcW w:type="dxa" w:w="5184"/>
            <w:tcMar>
              <w:top w:w="80" w:type="dxa"/>
              <w:start w:w="90" w:type="dxa"/>
              <w:bottom w:w="80" w:type="dxa"/>
              <w:end w:w="90" w:type="dxa"/>
            </w:tcMar>
            <w:vAlign w:val="center"/>
          </w:tcPr>
          <w:p>
            <w:r>
              <w:t>Our 7-day strength looks low. What happened later in similar cases?</w:t>
            </w:r>
          </w:p>
        </w:tc>
        <w:tc>
          <w:tcPr>
            <w:tcW w:type="dxa" w:w="5184"/>
            <w:tcMar>
              <w:top w:w="80" w:type="dxa"/>
              <w:start w:w="90" w:type="dxa"/>
              <w:bottom w:w="80" w:type="dxa"/>
              <w:end w:w="90" w:type="dxa"/>
            </w:tcMar>
            <w:vAlign w:val="center"/>
          </w:tcPr>
          <w:p>
            <w:r>
              <w:t>Historical cases with similar required strength, 7-day result, supplier, mix, and available field measurements.</w:t>
            </w:r>
          </w:p>
        </w:tc>
      </w:tr>
      <w:tr>
        <w:tc>
          <w:tcPr>
            <w:tcW w:type="dxa" w:w="5184"/>
            <w:tcMar>
              <w:top w:w="80" w:type="dxa"/>
              <w:start w:w="90" w:type="dxa"/>
              <w:bottom w:w="80" w:type="dxa"/>
              <w:end w:w="90" w:type="dxa"/>
            </w:tcMar>
            <w:vAlign w:val="center"/>
          </w:tcPr>
          <w:p>
            <w:r>
              <w:t>Is this result unusual?</w:t>
            </w:r>
          </w:p>
        </w:tc>
        <w:tc>
          <w:tcPr>
            <w:tcW w:type="dxa" w:w="5184"/>
            <w:tcMar>
              <w:top w:w="80" w:type="dxa"/>
              <w:start w:w="90" w:type="dxa"/>
              <w:bottom w:w="80" w:type="dxa"/>
              <w:end w:w="90" w:type="dxa"/>
            </w:tcMar>
            <w:vAlign w:val="center"/>
          </w:tcPr>
          <w:p>
            <w:r>
              <w:t>Where the current result falls within the historical range or distribution.</w:t>
            </w:r>
          </w:p>
        </w:tc>
      </w:tr>
      <w:tr>
        <w:tc>
          <w:tcPr>
            <w:tcW w:type="dxa" w:w="5184"/>
            <w:tcMar>
              <w:top w:w="80" w:type="dxa"/>
              <w:start w:w="90" w:type="dxa"/>
              <w:bottom w:w="80" w:type="dxa"/>
              <w:end w:w="90" w:type="dxa"/>
            </w:tcMar>
            <w:vAlign w:val="center"/>
          </w:tcPr>
          <w:p>
            <w:r>
              <w:t>What happened when slump or air was out of spec?</w:t>
            </w:r>
          </w:p>
        </w:tc>
        <w:tc>
          <w:tcPr>
            <w:tcW w:type="dxa" w:w="5184"/>
            <w:tcMar>
              <w:top w:w="80" w:type="dxa"/>
              <w:start w:w="90" w:type="dxa"/>
              <w:bottom w:w="80" w:type="dxa"/>
              <w:end w:w="90" w:type="dxa"/>
            </w:tcMar>
            <w:vAlign w:val="center"/>
          </w:tcPr>
          <w:p>
            <w:r>
              <w:t>Actual historical outcomes for comparable in-spec and out-of-spec groups.</w:t>
            </w:r>
          </w:p>
        </w:tc>
      </w:tr>
      <w:tr>
        <w:tc>
          <w:tcPr>
            <w:tcW w:type="dxa" w:w="5184"/>
            <w:tcMar>
              <w:top w:w="80" w:type="dxa"/>
              <w:start w:w="90" w:type="dxa"/>
              <w:bottom w:w="80" w:type="dxa"/>
              <w:end w:w="90" w:type="dxa"/>
            </w:tcMar>
            <w:vAlign w:val="center"/>
          </w:tcPr>
          <w:p>
            <w:r>
              <w:t>How has this supplier or mix performed under similar conditions?</w:t>
            </w:r>
          </w:p>
        </w:tc>
        <w:tc>
          <w:tcPr>
            <w:tcW w:type="dxa" w:w="5184"/>
            <w:tcMar>
              <w:top w:w="80" w:type="dxa"/>
              <w:start w:w="90" w:type="dxa"/>
              <w:bottom w:w="80" w:type="dxa"/>
              <w:end w:w="90" w:type="dxa"/>
            </w:tcMar>
            <w:vAlign w:val="center"/>
          </w:tcPr>
          <w:p>
            <w:r>
              <w:t>Comparable records with similar requirements and field conditions, not a simple all-record supplier comparison.</w:t>
            </w:r>
          </w:p>
        </w:tc>
      </w:tr>
    </w:tbl>
    <w:p>
      <w:pPr>
        <w:pStyle w:val="Heading1"/>
      </w:pPr>
      <w:r>
        <w:t>3. Historical Mix Intelligence</w:t>
      </w:r>
    </w:p>
    <w:p>
      <w:r>
        <w:t>Some IMTS concrete records also contain batch quantity information. Depending on the record, this may include cement, fly ash, aggregate, water, admixture, moisture, water added, and calculated water-cementitious ratio.</w:t>
      </w:r>
    </w:p>
    <w:p>
      <w:r>
        <w:t>This can help an engineer find historical mixes and suppliers that are worth reviewing first.</w:t>
      </w:r>
    </w:p>
    <w:p>
      <w:pPr>
        <w:pStyle w:val="ListBullet"/>
        <w:spacing w:after="30"/>
      </w:pPr>
      <w:r>
        <w:t>Which historical mixes consistently met a similar strength requirement?</w:t>
      </w:r>
    </w:p>
    <w:p>
      <w:pPr>
        <w:pStyle w:val="ListBullet"/>
        <w:spacing w:after="30"/>
      </w:pPr>
      <w:r>
        <w:t>Which mixes had more consistent 28-day strength?</w:t>
      </w:r>
    </w:p>
    <w:p>
      <w:pPr>
        <w:pStyle w:val="ListBullet"/>
        <w:spacing w:after="30"/>
      </w:pPr>
      <w:r>
        <w:t>Which mixes used different cementitious proportions and still performed well?</w:t>
      </w:r>
    </w:p>
    <w:p>
      <w:pPr>
        <w:pStyle w:val="ListBullet"/>
        <w:spacing w:after="30"/>
      </w:pPr>
      <w:r>
        <w:t>Which supplier and mix combinations had strong historical results under similar conditions?</w:t>
      </w:r>
    </w:p>
    <w:tbl>
      <w:tblPr>
        <w:tblW w:type="auto" w:w="0"/>
        <w:jc w:val="center"/>
        <w:tblLook w:firstColumn="1" w:firstRow="1" w:lastColumn="0" w:lastRow="0" w:noHBand="0" w:noVBand="1" w:val="04A0"/>
      </w:tblPr>
      <w:tblGrid>
        <w:gridCol w:w="10368"/>
      </w:tblGrid>
      <w:tr>
        <w:tc>
          <w:tcPr>
            <w:tcW w:type="dxa" w:w="10368"/>
            <w:shd w:fill="E2F0D9"/>
            <w:tcMar>
              <w:top w:w="110" w:type="dxa"/>
              <w:start w:w="130" w:type="dxa"/>
              <w:bottom w:w="110" w:type="dxa"/>
              <w:end w:w="130" w:type="dxa"/>
            </w:tcMar>
          </w:tcPr>
          <w:p>
            <w:pPr>
              <w:spacing w:after="40"/>
            </w:pPr>
            <w:r>
              <w:rPr>
                <w:b/>
                <w:color w:val="548235"/>
              </w:rPr>
              <w:t>Practical workflow</w:t>
            </w:r>
          </w:p>
          <w:p>
            <w:pPr>
              <w:spacing w:after="0"/>
            </w:pPr>
            <w:r>
              <w:t>IMTS historical data -&gt; identify promising mixes or suppliers -&gt; engineer reviews the results -&gt; obtain any missing current information from the supplier -&gt; make the final engineering decision.</w:t>
            </w:r>
          </w:p>
        </w:tc>
      </w:tr>
    </w:tbl>
    <w:p>
      <w:r>
        <w:rPr>
          <w:b/>
        </w:rPr>
        <w:t xml:space="preserve">Important: </w:t>
      </w:r>
      <w:r>
        <w:t>IMTS does not need to contain every field needed for the final decision. For example, current cost, material availability, or detailed supplier information may need to come directly from the supplier.</w:t>
      </w:r>
    </w:p>
    <w:p>
      <w:pPr>
        <w:pStyle w:val="Heading1"/>
      </w:pPr>
      <w:r>
        <w:t>4. Other IMTS Material Data</w:t>
      </w:r>
    </w:p>
    <w:p>
      <w:r>
        <w:t>IMTS also contains soil, asphalt, aggregate, and field-report data. This could support a broader materials quality view.</w:t>
      </w:r>
    </w:p>
    <w:p>
      <w:r>
        <w:rPr>
          <w:b/>
        </w:rPr>
        <w:t xml:space="preserve">For these areas, the next step should be to review the test workflows with materials engineers. </w:t>
      </w:r>
      <w:r>
        <w:t>We can see that related test data exists, but we should not define detailed engineering conclusions until we better understand how the tests are used together.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5597"/>
            <w:tcMar>
              <w:top w:w="80" w:type="dxa"/>
              <w:start w:w="100" w:type="dxa"/>
              <w:bottom w:w="80" w:type="dxa"/>
              <w:end w:w="100" w:type="dxa"/>
            </w:tcMar>
          </w:tcPr>
          <w:p>
            <w:r>
              <w:rPr>
                <w:b/>
                <w:color w:val="FFFFFF"/>
              </w:rPr>
              <w:t>Material area</w:t>
            </w:r>
          </w:p>
        </w:tc>
        <w:tc>
          <w:tcPr>
            <w:tcW w:type="dxa" w:w="3456"/>
            <w:shd w:fill="2F5597"/>
            <w:tcMar>
              <w:top w:w="80" w:type="dxa"/>
              <w:start w:w="100" w:type="dxa"/>
              <w:bottom w:w="80" w:type="dxa"/>
              <w:end w:w="100" w:type="dxa"/>
            </w:tcMar>
          </w:tcPr>
          <w:p>
            <w:r>
              <w:rPr>
                <w:b/>
                <w:color w:val="FFFFFF"/>
              </w:rPr>
              <w:t>Examples of IMTS tests</w:t>
            </w:r>
          </w:p>
        </w:tc>
        <w:tc>
          <w:tcPr>
            <w:tcW w:type="dxa" w:w="3456"/>
            <w:shd w:fill="2F5597"/>
            <w:tcMar>
              <w:top w:w="80" w:type="dxa"/>
              <w:start w:w="100" w:type="dxa"/>
              <w:bottom w:w="80" w:type="dxa"/>
              <w:end w:w="100" w:type="dxa"/>
            </w:tcMar>
          </w:tcPr>
          <w:p>
            <w:r>
              <w:rPr>
                <w:b/>
                <w:color w:val="FFFFFF"/>
              </w:rPr>
              <w:t>Possible use</w:t>
            </w:r>
          </w:p>
        </w:tc>
      </w:tr>
      <w:tr>
        <w:tc>
          <w:tcPr>
            <w:tcW w:type="dxa" w:w="3456"/>
            <w:tcMar>
              <w:top w:w="75" w:type="dxa"/>
              <w:start w:w="85" w:type="dxa"/>
              <w:bottom w:w="75" w:type="dxa"/>
              <w:end w:w="85" w:type="dxa"/>
            </w:tcMar>
          </w:tcPr>
          <w:p>
            <w:r>
              <w:t>Soil / Compaction</w:t>
            </w:r>
          </w:p>
        </w:tc>
        <w:tc>
          <w:tcPr>
            <w:tcW w:type="dxa" w:w="3456"/>
            <w:tcMar>
              <w:top w:w="75" w:type="dxa"/>
              <w:start w:w="85" w:type="dxa"/>
              <w:bottom w:w="75" w:type="dxa"/>
              <w:end w:w="85" w:type="dxa"/>
            </w:tcMar>
          </w:tcPr>
          <w:p>
            <w:r>
              <w:t>Field Density Soil, Sand Cone, Standard/Modified Proctor, Moisture Content, PI</w:t>
            </w:r>
          </w:p>
        </w:tc>
        <w:tc>
          <w:tcPr>
            <w:tcW w:type="dxa" w:w="3456"/>
            <w:tcMar>
              <w:top w:w="75" w:type="dxa"/>
              <w:start w:w="85" w:type="dxa"/>
              <w:bottom w:w="75" w:type="dxa"/>
              <w:end w:w="85" w:type="dxa"/>
            </w:tcMar>
          </w:tcPr>
          <w:p>
            <w:r>
              <w:t>Bring related test results together so engineers can review project and material conditions in one place.</w:t>
            </w:r>
          </w:p>
        </w:tc>
      </w:tr>
      <w:tr>
        <w:tc>
          <w:tcPr>
            <w:tcW w:type="dxa" w:w="3456"/>
            <w:tcMar>
              <w:top w:w="75" w:type="dxa"/>
              <w:start w:w="85" w:type="dxa"/>
              <w:bottom w:w="75" w:type="dxa"/>
              <w:end w:w="85" w:type="dxa"/>
            </w:tcMar>
          </w:tcPr>
          <w:p>
            <w:r>
              <w:t>Asphalt</w:t>
            </w:r>
          </w:p>
        </w:tc>
        <w:tc>
          <w:tcPr>
            <w:tcW w:type="dxa" w:w="3456"/>
            <w:tcMar>
              <w:top w:w="75" w:type="dxa"/>
              <w:start w:w="85" w:type="dxa"/>
              <w:bottom w:w="75" w:type="dxa"/>
              <w:end w:w="85" w:type="dxa"/>
            </w:tcMar>
          </w:tcPr>
          <w:p>
            <w:r>
              <w:t>Field Density Asphalt, Asphalt Sieve, Asphalt Cement Content, Gyratory, Marshall, Rice, Stability and Flow</w:t>
            </w:r>
          </w:p>
        </w:tc>
        <w:tc>
          <w:tcPr>
            <w:tcW w:type="dxa" w:w="3456"/>
            <w:tcMar>
              <w:top w:w="75" w:type="dxa"/>
              <w:start w:w="85" w:type="dxa"/>
              <w:bottom w:w="75" w:type="dxa"/>
              <w:end w:w="85" w:type="dxa"/>
            </w:tcMar>
          </w:tcPr>
          <w:p>
            <w:r>
              <w:t>Bring field and lab results together to show quality patterns and changes over time.</w:t>
            </w:r>
          </w:p>
        </w:tc>
      </w:tr>
      <w:tr>
        <w:tc>
          <w:tcPr>
            <w:tcW w:type="dxa" w:w="3456"/>
            <w:tcMar>
              <w:top w:w="75" w:type="dxa"/>
              <w:start w:w="85" w:type="dxa"/>
              <w:bottom w:w="75" w:type="dxa"/>
              <w:end w:w="85" w:type="dxa"/>
            </w:tcMar>
          </w:tcPr>
          <w:p>
            <w:r>
              <w:t>Aggregate</w:t>
            </w:r>
          </w:p>
        </w:tc>
        <w:tc>
          <w:tcPr>
            <w:tcW w:type="dxa" w:w="3456"/>
            <w:tcMar>
              <w:top w:w="75" w:type="dxa"/>
              <w:start w:w="85" w:type="dxa"/>
              <w:bottom w:w="75" w:type="dxa"/>
              <w:end w:w="85" w:type="dxa"/>
            </w:tcMar>
          </w:tcPr>
          <w:p>
            <w:r>
              <w:t>Regular/Split Sieve, Coarse Specific Gravity, LA Abrasion</w:t>
            </w:r>
          </w:p>
        </w:tc>
        <w:tc>
          <w:tcPr>
            <w:tcW w:type="dxa" w:w="3456"/>
            <w:tcMar>
              <w:top w:w="75" w:type="dxa"/>
              <w:start w:w="85" w:type="dxa"/>
              <w:bottom w:w="75" w:type="dxa"/>
              <w:end w:w="85" w:type="dxa"/>
            </w:tcMar>
          </w:tcPr>
          <w:p>
            <w:r>
              <w:t>Show historical material/source results and available property trends.</w:t>
            </w:r>
          </w:p>
        </w:tc>
      </w:tr>
      <w:tr>
        <w:tc>
          <w:tcPr>
            <w:tcW w:type="dxa" w:w="3456"/>
            <w:tcMar>
              <w:top w:w="75" w:type="dxa"/>
              <w:start w:w="85" w:type="dxa"/>
              <w:bottom w:w="75" w:type="dxa"/>
              <w:end w:w="85" w:type="dxa"/>
            </w:tcMar>
          </w:tcPr>
          <w:p>
            <w:r>
              <w:t>Field Reporting</w:t>
            </w:r>
          </w:p>
        </w:tc>
        <w:tc>
          <w:tcPr>
            <w:tcW w:type="dxa" w:w="3456"/>
            <w:tcMar>
              <w:top w:w="75" w:type="dxa"/>
              <w:start w:w="85" w:type="dxa"/>
              <w:bottom w:w="75" w:type="dxa"/>
              <w:end w:w="85" w:type="dxa"/>
            </w:tcMar>
          </w:tcPr>
          <w:p>
            <w:r>
              <w:t>General Field Report</w:t>
            </w:r>
          </w:p>
        </w:tc>
        <w:tc>
          <w:tcPr>
            <w:tcW w:type="dxa" w:w="3456"/>
            <w:tcMar>
              <w:top w:w="75" w:type="dxa"/>
              <w:start w:w="85" w:type="dxa"/>
              <w:bottom w:w="75" w:type="dxa"/>
              <w:end w:w="85" w:type="dxa"/>
            </w:tcMar>
          </w:tcPr>
          <w:p>
            <w:r>
              <w:t>Add useful project context when the report can be reliably connected to the test data.</w:t>
            </w:r>
          </w:p>
        </w:tc>
      </w:tr>
    </w:tbl>
    <w:p>
      <w:pPr>
        <w:pStyle w:val="Heading1"/>
      </w:pPr>
      <w:r>
        <w:t>5. Project Materials Quality View</w:t>
      </w:r>
    </w:p>
    <w:p>
      <w:r>
        <w:t>A larger opportunity is to combine the available material areas into one project-level view. This would not be an overall construction-progress dashboard. It would focus on materials testing and quality.</w:t>
      </w:r>
    </w:p>
    <w:p>
      <w:pPr>
        <w:pStyle w:val="ListBullet"/>
        <w:spacing w:after="30"/>
      </w:pPr>
      <w:r>
        <w:t>Concrete test counts, strength results, fresh-concrete exceptions, and trends.</w:t>
      </w:r>
    </w:p>
    <w:p>
      <w:pPr>
        <w:pStyle w:val="ListBullet"/>
        <w:spacing w:after="30"/>
      </w:pPr>
      <w:r>
        <w:t>Available soil and compaction summaries.</w:t>
      </w:r>
    </w:p>
    <w:p>
      <w:pPr>
        <w:pStyle w:val="ListBullet"/>
        <w:spacing w:after="30"/>
      </w:pPr>
      <w:r>
        <w:t>Available asphalt field and laboratory summaries.</w:t>
      </w:r>
    </w:p>
    <w:p>
      <w:pPr>
        <w:pStyle w:val="ListBullet"/>
        <w:spacing w:after="30"/>
      </w:pPr>
      <w:r>
        <w:t>Available aggregate and source/material summaries.</w:t>
      </w:r>
    </w:p>
    <w:p>
      <w:pPr>
        <w:pStyle w:val="ListBullet"/>
        <w:spacing w:after="30"/>
      </w:pPr>
      <w:r>
        <w:t>A simple view of which material area needs the most attention based on recorded results.</w:t>
      </w:r>
    </w:p>
    <w:p>
      <w:pPr>
        <w:pStyle w:val="Heading1"/>
      </w:pPr>
      <w:r>
        <w:t>6. Important Data Limits</w:t>
      </w:r>
    </w:p>
    <w:p>
      <w:r>
        <w:t>The report should stay within what IMTS can actually prove.</w:t>
      </w:r>
    </w:p>
    <w:p>
      <w:pPr>
        <w:pStyle w:val="ListBullet"/>
        <w:spacing w:after="30"/>
      </w:pPr>
      <w:r>
        <w:t>IMTS does not directly track retest relationships.</w:t>
      </w:r>
    </w:p>
    <w:p>
      <w:pPr>
        <w:pStyle w:val="ListBullet"/>
        <w:spacing w:after="30"/>
      </w:pPr>
      <w:r>
        <w:t>A new sample number may be used for another test, so the database may not know that two samples are related.</w:t>
      </w:r>
    </w:p>
    <w:p>
      <w:pPr>
        <w:pStyle w:val="ListBullet"/>
        <w:spacing w:after="30"/>
      </w:pPr>
      <w:r>
        <w:t>Amendment descriptions can have many meanings and should not automatically be treated as retest information.</w:t>
      </w:r>
    </w:p>
    <w:p>
      <w:pPr>
        <w:pStyle w:val="ListBullet"/>
        <w:spacing w:after="30"/>
      </w:pPr>
      <w:r>
        <w:t>We should only compare records when units, specifications, fields, and historical data are reliable enough.</w:t>
      </w:r>
    </w:p>
    <w:p>
      <w:pPr>
        <w:pStyle w:val="ListBullet"/>
        <w:spacing w:after="30"/>
      </w:pPr>
      <w:r>
        <w:t>Supplier names and other master data may need cleanup before broad comparisons are used.</w:t>
      </w:r>
    </w:p>
    <w:p>
      <w:pPr>
        <w:pStyle w:val="Heading1"/>
      </w:pPr>
      <w:r>
        <w:t>7. Business Value</w:t>
      </w:r>
    </w:p>
    <w:p>
      <w:r>
        <w:t>We do not need to know the final revenue model yet to show that the idea may have value.</w:t>
      </w:r>
    </w:p>
    <w:p>
      <w:pPr>
        <w:pStyle w:val="ListBullet"/>
        <w:spacing w:after="30"/>
      </w:pPr>
      <w:r>
        <w:t>Differentiate WSP materials-testing services.</w:t>
      </w:r>
    </w:p>
    <w:p>
      <w:pPr>
        <w:pStyle w:val="ListBullet"/>
        <w:spacing w:after="30"/>
      </w:pPr>
      <w:r>
        <w:t>Give clients more value than individual reports alone.</w:t>
      </w:r>
    </w:p>
    <w:p>
      <w:pPr>
        <w:pStyle w:val="ListBullet"/>
        <w:spacing w:after="30"/>
      </w:pPr>
      <w:r>
        <w:t>Help engineers find useful historical information faster.</w:t>
      </w:r>
    </w:p>
    <w:p>
      <w:pPr>
        <w:pStyle w:val="ListBullet"/>
        <w:spacing w:after="30"/>
      </w:pPr>
      <w:r>
        <w:t>Help teams focus review on the most relevant tests, mixes, suppliers, or material areas.</w:t>
      </w:r>
    </w:p>
    <w:p>
      <w:pPr>
        <w:pStyle w:val="ListBullet"/>
        <w:spacing w:after="30"/>
      </w:pPr>
      <w:r>
        <w:t>Support stronger client relationships and potentially more work.</w:t>
      </w:r>
    </w:p>
    <w:p>
      <w:pPr>
        <w:pStyle w:val="ListBullet"/>
        <w:spacing w:after="30"/>
      </w:pPr>
      <w:r>
        <w:t>Create a base for additional analytics or engineering services if users find it valuable.</w:t>
      </w:r>
    </w:p>
    <w:p>
      <w:pPr>
        <w:pStyle w:val="Heading1"/>
      </w:pPr>
      <w:r>
        <w:t>8. Recommendation</w:t>
      </w:r>
    </w:p>
    <w:p>
      <w:r>
        <w:rPr>
          <w:b/>
        </w:rPr>
        <w:t xml:space="preserve">Start with Historical Materials Intelligence, using Concrete as the first detailed example. </w:t>
      </w:r>
      <w:r>
        <w:t>Use historical filtering and comparison to answer real engineer questions. Then review Soil, Asphalt, and Aggregate workflows with materials engineers and extend the same idea where the data and engineering use cases are clear.</w:t>
      </w:r>
    </w:p>
    <w:tbl>
      <w:tblPr>
        <w:tblW w:type="auto" w:w="0"/>
        <w:jc w:val="center"/>
        <w:tblLook w:firstColumn="1" w:firstRow="1" w:lastColumn="0" w:lastRow="0" w:noHBand="0" w:noVBand="1" w:val="04A0"/>
      </w:tblPr>
      <w:tblGrid>
        <w:gridCol w:w="10368"/>
      </w:tblGrid>
      <w:tr>
        <w:tc>
          <w:tcPr>
            <w:tcW w:type="dxa" w:w="10368"/>
            <w:shd w:fill="EAF2F8"/>
            <w:tcMar>
              <w:top w:w="110" w:type="dxa"/>
              <w:start w:w="130" w:type="dxa"/>
              <w:bottom w:w="110" w:type="dxa"/>
              <w:end w:w="130" w:type="dxa"/>
            </w:tcMar>
          </w:tcPr>
          <w:p>
            <w:pPr>
              <w:spacing w:after="40"/>
            </w:pPr>
            <w:r>
              <w:rPr>
                <w:b/>
                <w:color w:val="17365D"/>
              </w:rPr>
              <w:t>Simple message for discussion</w:t>
            </w:r>
          </w:p>
          <w:p>
            <w:pPr>
              <w:spacing w:after="0"/>
            </w:pPr>
            <w:r>
              <w:t>WSP already has years of materials testing data in IMTS. We can use that history to give engineers and clients better context around current results. Concrete is the clearest first example, and the same foundation may later support broader project materials quality intelligence.</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IMTS Historical Materials Data | Business Opportunity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