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7365D"/>
          <w:sz w:val="42"/>
        </w:rPr>
        <w:t>IMTS BUSINESS OPPORTUNITY EVALUATION</w:t>
      </w:r>
    </w:p>
    <w:p>
      <w:pPr>
        <w:spacing w:after="100"/>
        <w:jc w:val="center"/>
      </w:pPr>
      <w:r>
        <w:rPr>
          <w:b/>
          <w:color w:val="44546A"/>
          <w:sz w:val="23"/>
        </w:rPr>
        <w:t>Historical Materials Intelligence, Predictive Quality Analysis, and Mix Optimization</w:t>
      </w:r>
    </w:p>
    <w:tbl>
      <w:tblPr>
        <w:tblW w:type="auto" w:w="0"/>
        <w:tblLook w:firstColumn="1" w:firstRow="1" w:lastColumn="0" w:lastRow="0" w:noHBand="0" w:noVBand="1" w:val="04A0"/>
      </w:tblPr>
      <w:tblGrid>
        <w:gridCol w:w="10570"/>
      </w:tblGrid>
      <w:tr>
        <w:tc>
          <w:tcPr>
            <w:tcW w:type="dxa" w:w="10570"/>
            <w:shd w:fill="EAF2F8"/>
            <w:tcMar>
              <w:top w:w="100" w:type="dxa"/>
              <w:start w:w="120" w:type="dxa"/>
              <w:bottom w:w="100" w:type="dxa"/>
              <w:end w:w="120" w:type="dxa"/>
            </w:tcMar>
          </w:tcPr>
          <w:p>
            <w:pPr>
              <w:spacing w:after="20"/>
            </w:pPr>
            <w:r>
              <w:rPr>
                <w:b/>
                <w:color w:val="17365D"/>
                <w:sz w:val="20"/>
              </w:rPr>
              <w:t>Summary</w:t>
            </w:r>
          </w:p>
          <w:p>
            <w:pPr>
              <w:spacing w:after="0"/>
            </w:pPr>
            <w:r>
              <w:t>I originally focused on Mix Optimization and Predictive Quality Analysis. After looking at the business side more closely, I think all three ideas have value, but they have different levels of readiness and risk. Historical Materials Intelligence appears to be the most practical client-facing opportunity to test first because it uses approved historical results to support engineering judgment rather than making the judgment for the client.</w:t>
            </w:r>
          </w:p>
        </w:tc>
      </w:tr>
    </w:tbl>
    <w:p>
      <w:pPr>
        <w:pStyle w:val="Heading1"/>
      </w:pPr>
      <w:r>
        <w:t>Why the Direction Evolved</w:t>
      </w:r>
    </w:p>
    <w:p>
      <w:r>
        <w:rPr>
          <w:b/>
        </w:rPr>
        <w:t xml:space="preserve">Mix Optimization and Predictive Quality Analysis still have business potential. </w:t>
      </w:r>
      <w:r>
        <w:t>However, using model output directly with clients creates additional risk. A false alarm or an incorrect prediction could lead to unnecessary review, retesting, schedule impacts, or questions about responsibility if a client acts on the model output.</w:t>
      </w:r>
    </w:p>
    <w:p>
      <w:r>
        <w:rPr>
          <w:b/>
        </w:rPr>
        <w:t xml:space="preserve">Historical comparison creates a different type of value. </w:t>
      </w:r>
      <w:r>
        <w:t>Instead of saying what will happen, WSP can show what actually happened in comparable approved historical tests. The engineer or client can then apply project knowledge and engineering judgment to decide whether further review is needed.</w:t>
      </w:r>
    </w:p>
    <w:p>
      <w:pPr>
        <w:pStyle w:val="Heading1"/>
      </w:pPr>
      <w:r>
        <w:t>Evaluation of the Three Opportunities</w:t>
      </w:r>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shd w:fill="17365D"/>
            <w:tcMar>
              <w:top w:w="80" w:type="dxa"/>
              <w:start w:w="90" w:type="dxa"/>
              <w:bottom w:w="80" w:type="dxa"/>
              <w:end w:w="90" w:type="dxa"/>
            </w:tcMar>
          </w:tcPr>
          <w:p>
            <w:r>
              <w:rPr>
                <w:b/>
                <w:color w:val="FFFFFF"/>
                <w:sz w:val="17"/>
              </w:rPr>
              <w:t>Opportunity</w:t>
            </w:r>
          </w:p>
        </w:tc>
        <w:tc>
          <w:tcPr>
            <w:tcW w:type="dxa" w:w="2114"/>
            <w:shd w:fill="17365D"/>
            <w:tcMar>
              <w:top w:w="80" w:type="dxa"/>
              <w:start w:w="90" w:type="dxa"/>
              <w:bottom w:w="80" w:type="dxa"/>
              <w:end w:w="90" w:type="dxa"/>
            </w:tcMar>
          </w:tcPr>
          <w:p>
            <w:r>
              <w:rPr>
                <w:b/>
                <w:color w:val="FFFFFF"/>
                <w:sz w:val="17"/>
              </w:rPr>
              <w:t>Client Value</w:t>
            </w:r>
          </w:p>
        </w:tc>
        <w:tc>
          <w:tcPr>
            <w:tcW w:type="dxa" w:w="2114"/>
            <w:shd w:fill="17365D"/>
            <w:tcMar>
              <w:top w:w="80" w:type="dxa"/>
              <w:start w:w="90" w:type="dxa"/>
              <w:bottom w:w="80" w:type="dxa"/>
              <w:end w:w="90" w:type="dxa"/>
            </w:tcMar>
          </w:tcPr>
          <w:p>
            <w:r>
              <w:rPr>
                <w:b/>
                <w:color w:val="FFFFFF"/>
                <w:sz w:val="17"/>
              </w:rPr>
              <w:t>Commercial Potential</w:t>
            </w:r>
          </w:p>
        </w:tc>
        <w:tc>
          <w:tcPr>
            <w:tcW w:type="dxa" w:w="2114"/>
            <w:shd w:fill="17365D"/>
            <w:tcMar>
              <w:top w:w="80" w:type="dxa"/>
              <w:start w:w="90" w:type="dxa"/>
              <w:bottom w:w="80" w:type="dxa"/>
              <w:end w:w="90" w:type="dxa"/>
            </w:tcMar>
          </w:tcPr>
          <w:p>
            <w:r>
              <w:rPr>
                <w:b/>
                <w:color w:val="FFFFFF"/>
                <w:sz w:val="17"/>
              </w:rPr>
              <w:t>Main Concern</w:t>
            </w:r>
          </w:p>
        </w:tc>
        <w:tc>
          <w:tcPr>
            <w:tcW w:type="dxa" w:w="2114"/>
            <w:shd w:fill="17365D"/>
            <w:tcMar>
              <w:top w:w="80" w:type="dxa"/>
              <w:start w:w="90" w:type="dxa"/>
              <w:bottom w:w="80" w:type="dxa"/>
              <w:end w:w="90" w:type="dxa"/>
            </w:tcMar>
          </w:tcPr>
          <w:p>
            <w:r>
              <w:rPr>
                <w:b/>
                <w:color w:val="FFFFFF"/>
                <w:sz w:val="17"/>
              </w:rPr>
              <w:t>Recommended Positioning</w:t>
            </w:r>
          </w:p>
        </w:tc>
      </w:tr>
      <w:tr>
        <w:tc>
          <w:tcPr>
            <w:tcW w:type="dxa" w:w="2114"/>
            <w:tcMar>
              <w:top w:w="80" w:type="dxa"/>
              <w:start w:w="90" w:type="dxa"/>
              <w:bottom w:w="80" w:type="dxa"/>
              <w:end w:w="90" w:type="dxa"/>
            </w:tcMar>
            <w:vAlign w:val="center"/>
          </w:tcPr>
          <w:p>
            <w:pPr>
              <w:spacing w:after="0" w:line="228" w:lineRule="auto"/>
            </w:pPr>
            <w:r>
              <w:rPr>
                <w:sz w:val="17"/>
              </w:rPr>
              <w:t>Historical Materials Intelligence</w:t>
            </w:r>
          </w:p>
        </w:tc>
        <w:tc>
          <w:tcPr>
            <w:tcW w:type="dxa" w:w="2114"/>
            <w:tcMar>
              <w:top w:w="80" w:type="dxa"/>
              <w:start w:w="90" w:type="dxa"/>
              <w:bottom w:w="80" w:type="dxa"/>
              <w:end w:w="90" w:type="dxa"/>
            </w:tcMar>
            <w:vAlign w:val="center"/>
          </w:tcPr>
          <w:p>
            <w:pPr>
              <w:spacing w:after="0" w:line="228" w:lineRule="auto"/>
            </w:pPr>
            <w:r>
              <w:rPr>
                <w:sz w:val="17"/>
              </w:rPr>
              <w:t>Project-level trends, historical comparison, context for current results</w:t>
            </w:r>
          </w:p>
        </w:tc>
        <w:tc>
          <w:tcPr>
            <w:tcW w:type="dxa" w:w="2114"/>
            <w:tcMar>
              <w:top w:w="80" w:type="dxa"/>
              <w:start w:w="90" w:type="dxa"/>
              <w:bottom w:w="80" w:type="dxa"/>
              <w:end w:w="90" w:type="dxa"/>
            </w:tcMar>
            <w:vAlign w:val="center"/>
          </w:tcPr>
          <w:p>
            <w:pPr>
              <w:spacing w:after="0" w:line="228" w:lineRule="auto"/>
            </w:pPr>
            <w:r>
              <w:rPr>
                <w:sz w:val="17"/>
              </w:rPr>
              <w:t>Strong service differentiation; potential premium analytics / review service</w:t>
            </w:r>
          </w:p>
        </w:tc>
        <w:tc>
          <w:tcPr>
            <w:tcW w:type="dxa" w:w="2114"/>
            <w:tcMar>
              <w:top w:w="80" w:type="dxa"/>
              <w:start w:w="90" w:type="dxa"/>
              <w:bottom w:w="80" w:type="dxa"/>
              <w:end w:w="90" w:type="dxa"/>
            </w:tcMar>
            <w:vAlign w:val="center"/>
          </w:tcPr>
          <w:p>
            <w:pPr>
              <w:spacing w:after="0" w:line="228" w:lineRule="auto"/>
            </w:pPr>
            <w:r>
              <w:rPr>
                <w:sz w:val="17"/>
              </w:rPr>
              <w:t>Data quality, data rights, supplier/master-data consistency</w:t>
            </w:r>
          </w:p>
        </w:tc>
        <w:tc>
          <w:tcPr>
            <w:tcW w:type="dxa" w:w="2114"/>
            <w:tcMar>
              <w:top w:w="80" w:type="dxa"/>
              <w:start w:w="90" w:type="dxa"/>
              <w:bottom w:w="80" w:type="dxa"/>
              <w:end w:w="90" w:type="dxa"/>
            </w:tcMar>
            <w:vAlign w:val="center"/>
          </w:tcPr>
          <w:p>
            <w:pPr>
              <w:spacing w:after="0" w:line="228" w:lineRule="auto"/>
            </w:pPr>
            <w:r>
              <w:rPr>
                <w:sz w:val="17"/>
              </w:rPr>
              <w:t>Best candidate for an initial client-facing pilot</w:t>
            </w:r>
          </w:p>
        </w:tc>
      </w:tr>
      <w:tr>
        <w:tc>
          <w:tcPr>
            <w:tcW w:type="dxa" w:w="2114"/>
            <w:tcMar>
              <w:top w:w="80" w:type="dxa"/>
              <w:start w:w="90" w:type="dxa"/>
              <w:bottom w:w="80" w:type="dxa"/>
              <w:end w:w="90" w:type="dxa"/>
            </w:tcMar>
            <w:vAlign w:val="center"/>
          </w:tcPr>
          <w:p>
            <w:pPr>
              <w:spacing w:after="0" w:line="228" w:lineRule="auto"/>
            </w:pPr>
            <w:r>
              <w:rPr>
                <w:sz w:val="17"/>
              </w:rPr>
              <w:t>Predictive Quality Analysis</w:t>
            </w:r>
          </w:p>
        </w:tc>
        <w:tc>
          <w:tcPr>
            <w:tcW w:type="dxa" w:w="2114"/>
            <w:tcMar>
              <w:top w:w="80" w:type="dxa"/>
              <w:start w:w="90" w:type="dxa"/>
              <w:bottom w:w="80" w:type="dxa"/>
              <w:end w:w="90" w:type="dxa"/>
            </w:tcMar>
            <w:vAlign w:val="center"/>
          </w:tcPr>
          <w:p>
            <w:pPr>
              <w:spacing w:after="0" w:line="228" w:lineRule="auto"/>
            </w:pPr>
            <w:r>
              <w:rPr>
                <w:sz w:val="17"/>
              </w:rPr>
              <w:t>Earlier indication of placements that may deserve attention</w:t>
            </w:r>
          </w:p>
        </w:tc>
        <w:tc>
          <w:tcPr>
            <w:tcW w:type="dxa" w:w="2114"/>
            <w:tcMar>
              <w:top w:w="80" w:type="dxa"/>
              <w:start w:w="90" w:type="dxa"/>
              <w:bottom w:w="80" w:type="dxa"/>
              <w:end w:w="90" w:type="dxa"/>
            </w:tcMar>
            <w:vAlign w:val="center"/>
          </w:tcPr>
          <w:p>
            <w:pPr>
              <w:spacing w:after="0" w:line="228" w:lineRule="auto"/>
            </w:pPr>
            <w:r>
              <w:rPr>
                <w:sz w:val="17"/>
              </w:rPr>
              <w:t>Potentially high if it saves engineering review time or reduces late surprises</w:t>
            </w:r>
          </w:p>
        </w:tc>
        <w:tc>
          <w:tcPr>
            <w:tcW w:type="dxa" w:w="2114"/>
            <w:tcMar>
              <w:top w:w="80" w:type="dxa"/>
              <w:start w:w="90" w:type="dxa"/>
              <w:bottom w:w="80" w:type="dxa"/>
              <w:end w:w="90" w:type="dxa"/>
            </w:tcMar>
            <w:vAlign w:val="center"/>
          </w:tcPr>
          <w:p>
            <w:pPr>
              <w:spacing w:after="0" w:line="228" w:lineRule="auto"/>
            </w:pPr>
            <w:r>
              <w:rPr>
                <w:sz w:val="17"/>
              </w:rPr>
              <w:t>False alarms, missed failures, model validation, responsibility for client action</w:t>
            </w:r>
          </w:p>
        </w:tc>
        <w:tc>
          <w:tcPr>
            <w:tcW w:type="dxa" w:w="2114"/>
            <w:tcMar>
              <w:top w:w="80" w:type="dxa"/>
              <w:start w:w="90" w:type="dxa"/>
              <w:bottom w:w="80" w:type="dxa"/>
              <w:end w:w="90" w:type="dxa"/>
            </w:tcMar>
            <w:vAlign w:val="center"/>
          </w:tcPr>
          <w:p>
            <w:pPr>
              <w:spacing w:after="0" w:line="228" w:lineRule="auto"/>
            </w:pPr>
            <w:r>
              <w:rPr>
                <w:sz w:val="17"/>
              </w:rPr>
              <w:t>Use first as engineer decision support; client-facing use should be carefully controlled</w:t>
            </w:r>
          </w:p>
        </w:tc>
      </w:tr>
      <w:tr>
        <w:tc>
          <w:tcPr>
            <w:tcW w:type="dxa" w:w="2114"/>
            <w:tcMar>
              <w:top w:w="80" w:type="dxa"/>
              <w:start w:w="90" w:type="dxa"/>
              <w:bottom w:w="80" w:type="dxa"/>
              <w:end w:w="90" w:type="dxa"/>
            </w:tcMar>
            <w:vAlign w:val="center"/>
          </w:tcPr>
          <w:p>
            <w:pPr>
              <w:spacing w:after="0" w:line="228" w:lineRule="auto"/>
            </w:pPr>
            <w:r>
              <w:rPr>
                <w:sz w:val="17"/>
              </w:rPr>
              <w:t>Mix Optimization</w:t>
            </w:r>
          </w:p>
        </w:tc>
        <w:tc>
          <w:tcPr>
            <w:tcW w:type="dxa" w:w="2114"/>
            <w:tcMar>
              <w:top w:w="80" w:type="dxa"/>
              <w:start w:w="90" w:type="dxa"/>
              <w:bottom w:w="80" w:type="dxa"/>
              <w:end w:w="90" w:type="dxa"/>
            </w:tcMar>
            <w:vAlign w:val="center"/>
          </w:tcPr>
          <w:p>
            <w:pPr>
              <w:spacing w:after="0" w:line="228" w:lineRule="auto"/>
            </w:pPr>
            <w:r>
              <w:rPr>
                <w:sz w:val="17"/>
              </w:rPr>
              <w:t>Potential cost, performance, and carbon improvements</w:t>
            </w:r>
          </w:p>
        </w:tc>
        <w:tc>
          <w:tcPr>
            <w:tcW w:type="dxa" w:w="2114"/>
            <w:tcMar>
              <w:top w:w="80" w:type="dxa"/>
              <w:start w:w="90" w:type="dxa"/>
              <w:bottom w:w="80" w:type="dxa"/>
              <w:end w:w="90" w:type="dxa"/>
            </w:tcMar>
            <w:vAlign w:val="center"/>
          </w:tcPr>
          <w:p>
            <w:pPr>
              <w:spacing w:after="0" w:line="228" w:lineRule="auto"/>
            </w:pPr>
            <w:r>
              <w:rPr>
                <w:sz w:val="17"/>
              </w:rPr>
              <w:t>Potentially high for projects/suppliers with complete mix and batch data</w:t>
            </w:r>
          </w:p>
        </w:tc>
        <w:tc>
          <w:tcPr>
            <w:tcW w:type="dxa" w:w="2114"/>
            <w:tcMar>
              <w:top w:w="80" w:type="dxa"/>
              <w:start w:w="90" w:type="dxa"/>
              <w:bottom w:w="80" w:type="dxa"/>
              <w:end w:w="90" w:type="dxa"/>
            </w:tcMar>
            <w:vAlign w:val="center"/>
          </w:tcPr>
          <w:p>
            <w:pPr>
              <w:spacing w:after="0" w:line="228" w:lineRule="auto"/>
            </w:pPr>
            <w:r>
              <w:rPr>
                <w:sz w:val="17"/>
              </w:rPr>
              <w:t>Incomplete batch/admixture/cost data; recommendation responsibility; project-specific constraints</w:t>
            </w:r>
          </w:p>
        </w:tc>
        <w:tc>
          <w:tcPr>
            <w:tcW w:type="dxa" w:w="2114"/>
            <w:tcMar>
              <w:top w:w="80" w:type="dxa"/>
              <w:start w:w="90" w:type="dxa"/>
              <w:bottom w:w="80" w:type="dxa"/>
              <w:end w:w="90" w:type="dxa"/>
            </w:tcMar>
            <w:vAlign w:val="center"/>
          </w:tcPr>
          <w:p>
            <w:pPr>
              <w:spacing w:after="0" w:line="228" w:lineRule="auto"/>
            </w:pPr>
            <w:r>
              <w:rPr>
                <w:sz w:val="17"/>
              </w:rPr>
              <w:t>Targeted advanced service where data quality and business need are strong</w:t>
            </w:r>
          </w:p>
        </w:tc>
      </w:tr>
    </w:tbl>
    <w:p>
      <w:pPr>
        <w:pStyle w:val="Heading1"/>
      </w:pPr>
      <w:r>
        <w:t>1. Historical Materials Intelligence</w:t>
      </w:r>
    </w:p>
    <w:p>
      <w:r>
        <w:rPr>
          <w:b/>
        </w:rPr>
        <w:t xml:space="preserve">Business idea: </w:t>
      </w:r>
      <w:r>
        <w:t>Use approved IMTS historical testing data to give clients and engineers additional context around current project results. This could be delivered through a project dashboard and/or an engineering quality review.</w:t>
      </w:r>
    </w:p>
    <w:p>
      <w:pPr>
        <w:pStyle w:val="ListBullet"/>
        <w:spacing w:after="24" w:line="230" w:lineRule="auto"/>
      </w:pPr>
      <w:r>
        <w:t>Show project-level quality trends instead of only individual reports.</w:t>
      </w:r>
    </w:p>
    <w:p>
      <w:pPr>
        <w:pStyle w:val="ListBullet"/>
        <w:spacing w:after="24" w:line="230" w:lineRule="auto"/>
      </w:pPr>
      <w:r>
        <w:t>Compare a current result with similar historical cases.</w:t>
      </w:r>
    </w:p>
    <w:p>
      <w:pPr>
        <w:pStyle w:val="ListBullet"/>
        <w:spacing w:after="24" w:line="230" w:lineRule="auto"/>
      </w:pPr>
      <w:r>
        <w:t>Show whether a failure or exception is common or unusual.</w:t>
      </w:r>
    </w:p>
    <w:p>
      <w:pPr>
        <w:pStyle w:val="ListBullet"/>
        <w:spacing w:after="24" w:line="230" w:lineRule="auto"/>
      </w:pPr>
      <w:r>
        <w:t>Compare suppliers, mixes, and placement types under comparable conditions.</w:t>
      </w:r>
    </w:p>
    <w:p>
      <w:pPr>
        <w:pStyle w:val="ListBullet"/>
        <w:spacing w:after="24" w:line="230" w:lineRule="auto"/>
      </w:pPr>
      <w:r>
        <w:t>Use actual historical outcomes as evidence while leaving the final decision to the engineer.</w:t>
      </w:r>
    </w:p>
    <w:p>
      <w:pPr>
        <w:pStyle w:val="Heading2"/>
        <w:pageBreakBefore/>
      </w:pPr>
      <w:r>
        <w:t>Example Questions the Service Could Answer</w:t>
      </w:r>
    </w:p>
    <w:tbl>
      <w:tblPr>
        <w:tblStyle w:val="TableGrid"/>
        <w:tblW w:type="auto" w:w="0"/>
        <w:jc w:val="center"/>
        <w:tblLook w:firstColumn="1" w:firstRow="1" w:lastColumn="0" w:lastRow="0" w:noHBand="0" w:noVBand="1" w:val="04A0"/>
      </w:tblPr>
      <w:tblGrid>
        <w:gridCol w:w="5285"/>
        <w:gridCol w:w="5285"/>
      </w:tblGrid>
      <w:tr>
        <w:tc>
          <w:tcPr>
            <w:tcW w:type="dxa" w:w="5285"/>
            <w:shd w:fill="2F5597"/>
            <w:tcMar>
              <w:top w:w="80" w:type="dxa"/>
              <w:start w:w="90" w:type="dxa"/>
              <w:bottom w:w="80" w:type="dxa"/>
              <w:end w:w="90" w:type="dxa"/>
            </w:tcMar>
          </w:tcPr>
          <w:p>
            <w:r>
              <w:rPr>
                <w:b/>
                <w:color w:val="FFFFFF"/>
                <w:sz w:val="17"/>
              </w:rPr>
              <w:t>Engineer / Client Question</w:t>
            </w:r>
          </w:p>
        </w:tc>
        <w:tc>
          <w:tcPr>
            <w:tcW w:type="dxa" w:w="5285"/>
            <w:shd w:fill="2F5597"/>
            <w:tcMar>
              <w:top w:w="80" w:type="dxa"/>
              <w:start w:w="90" w:type="dxa"/>
              <w:bottom w:w="80" w:type="dxa"/>
              <w:end w:w="90" w:type="dxa"/>
            </w:tcMar>
          </w:tcPr>
          <w:p>
            <w:r>
              <w:rPr>
                <w:b/>
                <w:color w:val="FFFFFF"/>
                <w:sz w:val="17"/>
              </w:rPr>
              <w:t>Example Response</w:t>
            </w:r>
          </w:p>
        </w:tc>
      </w:tr>
      <w:tr>
        <w:tc>
          <w:tcPr>
            <w:tcW w:type="dxa" w:w="5285"/>
            <w:tcMar>
              <w:top w:w="80" w:type="dxa"/>
              <w:start w:w="90" w:type="dxa"/>
              <w:bottom w:w="80" w:type="dxa"/>
              <w:end w:w="90" w:type="dxa"/>
            </w:tcMar>
            <w:vAlign w:val="center"/>
          </w:tcPr>
          <w:p>
            <w:pPr>
              <w:spacing w:after="0" w:line="228" w:lineRule="auto"/>
            </w:pPr>
            <w:r>
              <w:rPr>
                <w:sz w:val="17"/>
              </w:rPr>
              <w:t>What happened historically under conditions similar to this placement?</w:t>
            </w:r>
          </w:p>
        </w:tc>
        <w:tc>
          <w:tcPr>
            <w:tcW w:type="dxa" w:w="5285"/>
            <w:tcMar>
              <w:top w:w="80" w:type="dxa"/>
              <w:start w:w="90" w:type="dxa"/>
              <w:bottom w:w="80" w:type="dxa"/>
              <w:end w:w="90" w:type="dxa"/>
            </w:tcMar>
            <w:vAlign w:val="center"/>
          </w:tcPr>
          <w:p>
            <w:pPr>
              <w:spacing w:after="0" w:line="228" w:lineRule="auto"/>
            </w:pPr>
            <w:r>
              <w:rPr>
                <w:sz w:val="17"/>
              </w:rPr>
              <w:t>1,284 comparable tests found; 96.3% met the 28-day requirement.</w:t>
            </w:r>
          </w:p>
        </w:tc>
      </w:tr>
      <w:tr>
        <w:tc>
          <w:tcPr>
            <w:tcW w:type="dxa" w:w="5285"/>
            <w:tcMar>
              <w:top w:w="80" w:type="dxa"/>
              <w:start w:w="90" w:type="dxa"/>
              <w:bottom w:w="80" w:type="dxa"/>
              <w:end w:w="90" w:type="dxa"/>
            </w:tcMar>
            <w:vAlign w:val="center"/>
          </w:tcPr>
          <w:p>
            <w:pPr>
              <w:spacing w:after="0" w:line="228" w:lineRule="auto"/>
            </w:pPr>
            <w:r>
              <w:rPr>
                <w:sz w:val="17"/>
              </w:rPr>
              <w:t>Our 7-day strength looks low. What happened later in similar cases?</w:t>
            </w:r>
          </w:p>
        </w:tc>
        <w:tc>
          <w:tcPr>
            <w:tcW w:type="dxa" w:w="5285"/>
            <w:tcMar>
              <w:top w:w="80" w:type="dxa"/>
              <w:start w:w="90" w:type="dxa"/>
              <w:bottom w:w="80" w:type="dxa"/>
              <w:end w:w="90" w:type="dxa"/>
            </w:tcMar>
            <w:vAlign w:val="center"/>
          </w:tcPr>
          <w:p>
            <w:pPr>
              <w:spacing w:after="0" w:line="228" w:lineRule="auto"/>
            </w:pPr>
            <w:r>
              <w:rPr>
                <w:sz w:val="17"/>
              </w:rPr>
              <w:t>843 comparable cases; 791 reached the required 28-day strength and 52 did not.</w:t>
            </w:r>
          </w:p>
        </w:tc>
      </w:tr>
      <w:tr>
        <w:tc>
          <w:tcPr>
            <w:tcW w:type="dxa" w:w="5285"/>
            <w:tcMar>
              <w:top w:w="80" w:type="dxa"/>
              <w:start w:w="90" w:type="dxa"/>
              <w:bottom w:w="80" w:type="dxa"/>
              <w:end w:w="90" w:type="dxa"/>
            </w:tcMar>
            <w:vAlign w:val="center"/>
          </w:tcPr>
          <w:p>
            <w:pPr>
              <w:spacing w:after="0" w:line="228" w:lineRule="auto"/>
            </w:pPr>
            <w:r>
              <w:rPr>
                <w:sz w:val="17"/>
              </w:rPr>
              <w:t>How has this supplier performed under comparable conditions?</w:t>
            </w:r>
          </w:p>
        </w:tc>
        <w:tc>
          <w:tcPr>
            <w:tcW w:type="dxa" w:w="5285"/>
            <w:tcMar>
              <w:top w:w="80" w:type="dxa"/>
              <w:start w:w="90" w:type="dxa"/>
              <w:bottom w:w="80" w:type="dxa"/>
              <w:end w:w="90" w:type="dxa"/>
            </w:tcMar>
            <w:vAlign w:val="center"/>
          </w:tcPr>
          <w:p>
            <w:pPr>
              <w:spacing w:after="0" w:line="228" w:lineRule="auto"/>
            </w:pPr>
            <w:r>
              <w:rPr>
                <w:sz w:val="17"/>
              </w:rPr>
              <w:t>Compare supplier results after filtering for similar strength, placement type, slump, air, and temperature.</w:t>
            </w:r>
          </w:p>
        </w:tc>
      </w:tr>
      <w:tr>
        <w:tc>
          <w:tcPr>
            <w:tcW w:type="dxa" w:w="5285"/>
            <w:tcMar>
              <w:top w:w="80" w:type="dxa"/>
              <w:start w:w="90" w:type="dxa"/>
              <w:bottom w:w="80" w:type="dxa"/>
              <w:end w:w="90" w:type="dxa"/>
            </w:tcMar>
            <w:vAlign w:val="center"/>
          </w:tcPr>
          <w:p>
            <w:pPr>
              <w:spacing w:after="0" w:line="228" w:lineRule="auto"/>
            </w:pPr>
            <w:r>
              <w:rPr>
                <w:sz w:val="17"/>
              </w:rPr>
              <w:t>Is this failure unusual?</w:t>
            </w:r>
          </w:p>
        </w:tc>
        <w:tc>
          <w:tcPr>
            <w:tcW w:type="dxa" w:w="5285"/>
            <w:tcMar>
              <w:top w:w="80" w:type="dxa"/>
              <w:start w:w="90" w:type="dxa"/>
              <w:bottom w:w="80" w:type="dxa"/>
              <w:end w:w="90" w:type="dxa"/>
            </w:tcMar>
            <w:vAlign w:val="center"/>
          </w:tcPr>
          <w:p>
            <w:pPr>
              <w:spacing w:after="0" w:line="228" w:lineRule="auto"/>
            </w:pPr>
            <w:r>
              <w:rPr>
                <w:sz w:val="17"/>
              </w:rPr>
              <w:t>482 comparable historical tests; historical failure rate was 2.7%.</w:t>
            </w:r>
          </w:p>
        </w:tc>
      </w:tr>
    </w:tbl>
    <w:p>
      <w:r>
        <w:rPr>
          <w:b/>
        </w:rPr>
        <w:t xml:space="preserve">Business value: </w:t>
      </w:r>
      <w:r>
        <w:t>I do not know yet whether this becomes direct standalone revenue. The more immediate value may be differentiation: WSP can offer clients context and historical insight that they may not have on their own. That could strengthen proposals, help win more materials-testing work, and create a path to a premium quality-review or analytics service.</w:t>
      </w:r>
    </w:p>
    <w:p>
      <w:pPr>
        <w:pStyle w:val="Heading1"/>
      </w:pPr>
      <w:r>
        <w:t>2. Predictive Quality Analysis</w:t>
      </w:r>
    </w:p>
    <w:p>
      <w:r>
        <w:rPr>
          <w:b/>
        </w:rPr>
        <w:t xml:space="preserve">Business idea: </w:t>
      </w:r>
      <w:r>
        <w:t>Use Day-0 measurements, 7-day strength, and other available information to identify placements that may deserve earlier engineering attention.</w:t>
      </w:r>
    </w:p>
    <w:p>
      <w:pPr>
        <w:pStyle w:val="ListBullet"/>
        <w:spacing w:after="24" w:line="230" w:lineRule="auto"/>
      </w:pPr>
      <w:r>
        <w:t>Could help WSP engineers focus review time on a smaller number of higher-risk placements.</w:t>
      </w:r>
    </w:p>
    <w:p>
      <w:pPr>
        <w:pStyle w:val="ListBullet"/>
        <w:spacing w:after="24" w:line="230" w:lineRule="auto"/>
      </w:pPr>
      <w:r>
        <w:t>Could potentially identify issues before the 28-day result is available.</w:t>
      </w:r>
    </w:p>
    <w:p>
      <w:pPr>
        <w:pStyle w:val="ListBullet"/>
        <w:spacing w:after="24" w:line="230" w:lineRule="auto"/>
      </w:pPr>
      <w:r>
        <w:t>Could become a premium analytics capability if accuracy and workflow value are demonstrated.</w:t>
      </w:r>
    </w:p>
    <w:p>
      <w:r>
        <w:rPr>
          <w:b/>
        </w:rPr>
        <w:t xml:space="preserve">Main concern: </w:t>
      </w:r>
      <w:r>
        <w:t>The model is not an engineering decision. If it is presented as a client-facing pass/fail prediction, false alarms or incorrect predictions could create unnecessary work or questions about responsibility.</w:t>
      </w:r>
    </w:p>
    <w:p>
      <w:r>
        <w:rPr>
          <w:b/>
        </w:rPr>
        <w:t xml:space="preserve">Recommended positioning: </w:t>
      </w:r>
      <w:r>
        <w:t>Keep the capability in the business pitch, but describe it first as an early-warning / engineer decision-support tool. Client-facing predictive results should be considered only after stronger validation, clear workflow rules, and appropriate risk review.</w:t>
      </w:r>
    </w:p>
    <w:p>
      <w:pPr>
        <w:pStyle w:val="Heading1"/>
      </w:pPr>
      <w:r>
        <w:t>3. Mix Optimization</w:t>
      </w:r>
    </w:p>
    <w:p>
      <w:r>
        <w:rPr>
          <w:b/>
        </w:rPr>
        <w:t xml:space="preserve">Business idea: </w:t>
      </w:r>
      <w:r>
        <w:t>Use historical mix, batch, field, and strength data to evaluate whether mix designs could meet performance requirements with lower material cost or lower embodied carbon.</w:t>
      </w:r>
    </w:p>
    <w:p>
      <w:pPr>
        <w:pStyle w:val="ListBullet"/>
        <w:spacing w:after="24" w:line="230" w:lineRule="auto"/>
      </w:pPr>
      <w:r>
        <w:t>Potential value to suppliers and project teams where mix and batch data are complete.</w:t>
      </w:r>
    </w:p>
    <w:p>
      <w:pPr>
        <w:pStyle w:val="ListBullet"/>
        <w:spacing w:after="24" w:line="230" w:lineRule="auto"/>
      </w:pPr>
      <w:r>
        <w:t>Could support cost reduction, carbon reduction, and more consistent mix performance.</w:t>
      </w:r>
    </w:p>
    <w:p>
      <w:pPr>
        <w:pStyle w:val="ListBullet"/>
        <w:spacing w:after="24" w:line="230" w:lineRule="auto"/>
      </w:pPr>
      <w:r>
        <w:t>Could eventually become a higher-value specialized engineering service.</w:t>
      </w:r>
    </w:p>
    <w:p>
      <w:r>
        <w:rPr>
          <w:b/>
        </w:rPr>
        <w:t xml:space="preserve">Main concern: </w:t>
      </w:r>
      <w:r>
        <w:t>IMTS does not consistently contain every input needed for optimization across all projects, such as complete admixture, cost, and batch information. An optimization recommendation also carries more responsibility than showing historical evidence.</w:t>
      </w:r>
    </w:p>
    <w:p>
      <w:r>
        <w:rPr>
          <w:b/>
        </w:rPr>
        <w:t xml:space="preserve">Recommended positioning: </w:t>
      </w:r>
      <w:r>
        <w:t>Keep this as a legitimate business opportunity, but focus it on offices, suppliers, or projects where the required data is sufficiently complete and the client has a clear optimization need.</w:t>
      </w:r>
    </w:p>
    <w:p>
      <w:pPr>
        <w:pStyle w:val="Heading1"/>
        <w:pageBreakBefore/>
      </w:pPr>
      <w:r>
        <w:t>Market Direction</w:t>
      </w:r>
    </w:p>
    <w:p>
      <w:r>
        <w:rPr>
          <w:b/>
        </w:rPr>
        <w:t xml:space="preserve">The general market direction supports the idea of turning accumulated construction/materials data into decision-support intelligence. </w:t>
      </w:r>
      <w:r>
        <w:t>AASHTOWare already provides analytics using current and historical highway construction data, and in 2026 announced a Materials Data Analytics feasibility study intended to move materials management from a 'system of record' toward a 'system of intelligence.' FHWA has also long recognized construction quality databases as tools for data-based decisions, performance analysis, and improvement of specifications. In the commercial concrete market, Giatec SmartMix provides QC analytics, performance prediction, and mix optimization, showing that concrete-performance data can support higher-value services.</w:t>
      </w:r>
    </w:p>
    <w:tbl>
      <w:tblPr>
        <w:tblStyle w:val="TableGrid"/>
        <w:tblW w:type="auto" w:w="0"/>
        <w:jc w:val="center"/>
        <w:tblLook w:firstColumn="1" w:firstRow="1" w:lastColumn="0" w:lastRow="0" w:noHBand="0" w:noVBand="1" w:val="04A0"/>
      </w:tblPr>
      <w:tblGrid>
        <w:gridCol w:w="3523"/>
        <w:gridCol w:w="3523"/>
        <w:gridCol w:w="3523"/>
      </w:tblGrid>
      <w:tr>
        <w:tc>
          <w:tcPr>
            <w:tcW w:type="dxa" w:w="3523"/>
            <w:shd w:fill="17365D"/>
            <w:tcMar>
              <w:top w:w="80" w:type="dxa"/>
              <w:start w:w="90" w:type="dxa"/>
              <w:bottom w:w="80" w:type="dxa"/>
              <w:end w:w="90" w:type="dxa"/>
            </w:tcMar>
          </w:tcPr>
          <w:p>
            <w:r>
              <w:rPr>
                <w:b/>
                <w:color w:val="FFFFFF"/>
                <w:sz w:val="17"/>
              </w:rPr>
              <w:t>Example</w:t>
            </w:r>
          </w:p>
        </w:tc>
        <w:tc>
          <w:tcPr>
            <w:tcW w:type="dxa" w:w="3523"/>
            <w:shd w:fill="17365D"/>
            <w:tcMar>
              <w:top w:w="80" w:type="dxa"/>
              <w:start w:w="90" w:type="dxa"/>
              <w:bottom w:w="80" w:type="dxa"/>
              <w:end w:w="90" w:type="dxa"/>
            </w:tcMar>
          </w:tcPr>
          <w:p>
            <w:r>
              <w:rPr>
                <w:b/>
                <w:color w:val="FFFFFF"/>
                <w:sz w:val="17"/>
              </w:rPr>
              <w:t>What It Shows</w:t>
            </w:r>
          </w:p>
        </w:tc>
        <w:tc>
          <w:tcPr>
            <w:tcW w:type="dxa" w:w="3523"/>
            <w:shd w:fill="17365D"/>
            <w:tcMar>
              <w:top w:w="80" w:type="dxa"/>
              <w:start w:w="90" w:type="dxa"/>
              <w:bottom w:w="80" w:type="dxa"/>
              <w:end w:w="90" w:type="dxa"/>
            </w:tcMar>
          </w:tcPr>
          <w:p>
            <w:r>
              <w:rPr>
                <w:b/>
                <w:color w:val="FFFFFF"/>
                <w:sz w:val="17"/>
              </w:rPr>
              <w:t>Relevance to IMTS</w:t>
            </w:r>
          </w:p>
        </w:tc>
      </w:tr>
      <w:tr>
        <w:tc>
          <w:tcPr>
            <w:tcW w:type="dxa" w:w="3523"/>
            <w:tcMar>
              <w:top w:w="80" w:type="dxa"/>
              <w:start w:w="90" w:type="dxa"/>
              <w:bottom w:w="80" w:type="dxa"/>
              <w:end w:w="90" w:type="dxa"/>
            </w:tcMar>
            <w:vAlign w:val="center"/>
          </w:tcPr>
          <w:p>
            <w:pPr>
              <w:spacing w:after="0" w:line="228" w:lineRule="auto"/>
            </w:pPr>
            <w:r>
              <w:rPr>
                <w:sz w:val="17"/>
              </w:rPr>
              <w:t>AASHTOWare Project Data Analytics / 2026 Materials Analytics Study</w:t>
            </w:r>
          </w:p>
        </w:tc>
        <w:tc>
          <w:tcPr>
            <w:tcW w:type="dxa" w:w="3523"/>
            <w:tcMar>
              <w:top w:w="80" w:type="dxa"/>
              <w:start w:w="90" w:type="dxa"/>
              <w:bottom w:w="80" w:type="dxa"/>
              <w:end w:w="90" w:type="dxa"/>
            </w:tcMar>
            <w:vAlign w:val="center"/>
          </w:tcPr>
          <w:p>
            <w:pPr>
              <w:spacing w:after="0" w:line="228" w:lineRule="auto"/>
            </w:pPr>
            <w:r>
              <w:rPr>
                <w:sz w:val="17"/>
              </w:rPr>
              <w:t>Historical/current construction analytics and standardized materials-test analysis</w:t>
            </w:r>
          </w:p>
        </w:tc>
        <w:tc>
          <w:tcPr>
            <w:tcW w:type="dxa" w:w="3523"/>
            <w:tcMar>
              <w:top w:w="80" w:type="dxa"/>
              <w:start w:w="90" w:type="dxa"/>
              <w:bottom w:w="80" w:type="dxa"/>
              <w:end w:w="90" w:type="dxa"/>
            </w:tcMar>
            <w:vAlign w:val="center"/>
          </w:tcPr>
          <w:p>
            <w:pPr>
              <w:spacing w:after="0" w:line="228" w:lineRule="auto"/>
            </w:pPr>
            <w:r>
              <w:rPr>
                <w:sz w:val="17"/>
              </w:rPr>
              <w:t>Confirms agency interest in moving from storing data to using it for intelligence</w:t>
            </w:r>
          </w:p>
        </w:tc>
      </w:tr>
      <w:tr>
        <w:tc>
          <w:tcPr>
            <w:tcW w:type="dxa" w:w="3523"/>
            <w:tcMar>
              <w:top w:w="80" w:type="dxa"/>
              <w:start w:w="90" w:type="dxa"/>
              <w:bottom w:w="80" w:type="dxa"/>
              <w:end w:w="90" w:type="dxa"/>
            </w:tcMar>
            <w:vAlign w:val="center"/>
          </w:tcPr>
          <w:p>
            <w:pPr>
              <w:spacing w:after="0" w:line="228" w:lineRule="auto"/>
            </w:pPr>
            <w:r>
              <w:rPr>
                <w:sz w:val="17"/>
              </w:rPr>
              <w:t>FHWA Construction Quality Database Guidance</w:t>
            </w:r>
          </w:p>
        </w:tc>
        <w:tc>
          <w:tcPr>
            <w:tcW w:type="dxa" w:w="3523"/>
            <w:tcMar>
              <w:top w:w="80" w:type="dxa"/>
              <w:start w:w="90" w:type="dxa"/>
              <w:bottom w:w="80" w:type="dxa"/>
              <w:end w:w="90" w:type="dxa"/>
            </w:tcMar>
            <w:vAlign w:val="center"/>
          </w:tcPr>
          <w:p>
            <w:pPr>
              <w:spacing w:after="0" w:line="228" w:lineRule="auto"/>
            </w:pPr>
            <w:r>
              <w:rPr>
                <w:sz w:val="17"/>
              </w:rPr>
              <w:t>Historical construction-quality data can support informed decisions, performance analysis, and specification improvement</w:t>
            </w:r>
          </w:p>
        </w:tc>
        <w:tc>
          <w:tcPr>
            <w:tcW w:type="dxa" w:w="3523"/>
            <w:tcMar>
              <w:top w:w="80" w:type="dxa"/>
              <w:start w:w="90" w:type="dxa"/>
              <w:bottom w:w="80" w:type="dxa"/>
              <w:end w:w="90" w:type="dxa"/>
            </w:tcMar>
            <w:vAlign w:val="center"/>
          </w:tcPr>
          <w:p>
            <w:pPr>
              <w:spacing w:after="0" w:line="228" w:lineRule="auto"/>
            </w:pPr>
            <w:r>
              <w:rPr>
                <w:sz w:val="17"/>
              </w:rPr>
              <w:t>Supports the value of organized historical materials data beyond individual reports</w:t>
            </w:r>
          </w:p>
        </w:tc>
      </w:tr>
      <w:tr>
        <w:tc>
          <w:tcPr>
            <w:tcW w:type="dxa" w:w="3523"/>
            <w:tcMar>
              <w:top w:w="80" w:type="dxa"/>
              <w:start w:w="90" w:type="dxa"/>
              <w:bottom w:w="80" w:type="dxa"/>
              <w:end w:w="90" w:type="dxa"/>
            </w:tcMar>
            <w:vAlign w:val="center"/>
          </w:tcPr>
          <w:p>
            <w:pPr>
              <w:spacing w:after="0" w:line="228" w:lineRule="auto"/>
            </w:pPr>
            <w:r>
              <w:rPr>
                <w:sz w:val="17"/>
              </w:rPr>
              <w:t>Giatec SmartMix</w:t>
            </w:r>
          </w:p>
        </w:tc>
        <w:tc>
          <w:tcPr>
            <w:tcW w:type="dxa" w:w="3523"/>
            <w:tcMar>
              <w:top w:w="80" w:type="dxa"/>
              <w:start w:w="90" w:type="dxa"/>
              <w:bottom w:w="80" w:type="dxa"/>
              <w:end w:w="90" w:type="dxa"/>
            </w:tcMar>
            <w:vAlign w:val="center"/>
          </w:tcPr>
          <w:p>
            <w:pPr>
              <w:spacing w:after="0" w:line="228" w:lineRule="auto"/>
            </w:pPr>
            <w:r>
              <w:rPr>
                <w:sz w:val="17"/>
              </w:rPr>
              <w:t>Commercial QC analytics, performance prediction, and mix optimization for concrete</w:t>
            </w:r>
          </w:p>
        </w:tc>
        <w:tc>
          <w:tcPr>
            <w:tcW w:type="dxa" w:w="3523"/>
            <w:tcMar>
              <w:top w:w="80" w:type="dxa"/>
              <w:start w:w="90" w:type="dxa"/>
              <w:bottom w:w="80" w:type="dxa"/>
              <w:end w:w="90" w:type="dxa"/>
            </w:tcMar>
            <w:vAlign w:val="center"/>
          </w:tcPr>
          <w:p>
            <w:pPr>
              <w:spacing w:after="0" w:line="228" w:lineRule="auto"/>
            </w:pPr>
            <w:r>
              <w:rPr>
                <w:sz w:val="17"/>
              </w:rPr>
              <w:t>Shows a commercial market exists for higher-value intelligence built on concrete-performance data</w:t>
            </w:r>
          </w:p>
        </w:tc>
      </w:tr>
    </w:tbl>
    <w:p>
      <w:pPr>
        <w:pStyle w:val="Heading1"/>
      </w:pPr>
      <w:r>
        <w:t>Target Market and Why</w:t>
      </w:r>
    </w:p>
    <w:p>
      <w:pPr>
        <w:pStyle w:val="ListBullet"/>
        <w:spacing w:after="24" w:line="230" w:lineRule="auto"/>
      </w:pPr>
      <w:r>
        <w:t>DOTs and transportation agencies: large numbers of tests, long project durations, and a strong need to understand quality at the project level.</w:t>
      </w:r>
    </w:p>
    <w:p>
      <w:pPr>
        <w:pStyle w:val="ListBullet"/>
        <w:spacing w:after="24" w:line="230" w:lineRule="auto"/>
      </w:pPr>
      <w:r>
        <w:t>Municipalities and public infrastructure owners: similar need for clearer oversight of testing and recurring quality concerns.</w:t>
      </w:r>
    </w:p>
    <w:p>
      <w:pPr>
        <w:pStyle w:val="ListBullet"/>
        <w:spacing w:after="24" w:line="230" w:lineRule="auto"/>
      </w:pPr>
      <w:r>
        <w:t>Large construction and infrastructure programs: many test reports across concrete, soil, asphalt, suppliers, and placement types.</w:t>
      </w:r>
    </w:p>
    <w:p>
      <w:pPr>
        <w:pStyle w:val="ListBullet"/>
        <w:spacing w:after="24" w:line="230" w:lineRule="auto"/>
      </w:pPr>
      <w:r>
        <w:t>Existing WSP materials-testing clients: the easiest place to test whether additional insight improves client value or strengthens WSP's competitive position.</w:t>
      </w:r>
    </w:p>
    <w:p>
      <w:pPr>
        <w:pStyle w:val="Heading1"/>
      </w:pPr>
      <w:r>
        <w:t>How This Could Support New or Novel Revenue</w:t>
      </w:r>
    </w:p>
    <w:p>
      <w:r>
        <w:rPr>
          <w:b/>
        </w:rPr>
        <w:t xml:space="preserve">I would not assume that the first revenue comes from selling IMTS as standalone software. </w:t>
      </w:r>
      <w:r>
        <w:t>The more realistic opportunity may be to make WSP's existing materials-testing service more differentiated and valuable.</w:t>
      </w:r>
    </w:p>
    <w:p>
      <w:pPr>
        <w:pStyle w:val="ListBullet"/>
        <w:spacing w:after="24" w:line="230" w:lineRule="auto"/>
      </w:pPr>
      <w:r>
        <w:t>Help WSP win more work by including quality intelligence and historical comparison in proposals.</w:t>
      </w:r>
    </w:p>
    <w:p>
      <w:pPr>
        <w:pStyle w:val="ListBullet"/>
        <w:spacing w:after="24" w:line="230" w:lineRule="auto"/>
      </w:pPr>
      <w:r>
        <w:t>Strengthen existing client relationships by providing more value from data already being collected.</w:t>
      </w:r>
    </w:p>
    <w:p>
      <w:pPr>
        <w:pStyle w:val="ListBullet"/>
        <w:spacing w:after="24" w:line="230" w:lineRule="auto"/>
      </w:pPr>
      <w:r>
        <w:t>Create a potential premium engineering review / analytics service if clients show willingness to pay for it.</w:t>
      </w:r>
    </w:p>
    <w:p>
      <w:pPr>
        <w:pStyle w:val="ListBullet"/>
        <w:spacing w:after="24" w:line="230" w:lineRule="auto"/>
      </w:pPr>
      <w:r>
        <w:t>Build a foundation for more advanced predictive and optimization services where the business case and data support them.</w:t>
      </w:r>
    </w:p>
    <w:p>
      <w:pPr>
        <w:pStyle w:val="Heading1"/>
      </w:pPr>
      <w:r>
        <w:t>Simple Pitch</w:t>
      </w:r>
    </w:p>
    <w:tbl>
      <w:tblPr>
        <w:tblW w:type="auto" w:w="0"/>
        <w:tblLook w:firstColumn="1" w:firstRow="1" w:lastColumn="0" w:lastRow="0" w:noHBand="0" w:noVBand="1" w:val="04A0"/>
      </w:tblPr>
      <w:tblGrid>
        <w:gridCol w:w="10570"/>
      </w:tblGrid>
      <w:tr>
        <w:tc>
          <w:tcPr>
            <w:tcW w:type="dxa" w:w="10570"/>
            <w:shd w:fill="DDEBF7"/>
            <w:tcMar>
              <w:top w:w="100" w:type="dxa"/>
              <w:start w:w="120" w:type="dxa"/>
              <w:bottom w:w="100" w:type="dxa"/>
              <w:end w:w="120" w:type="dxa"/>
            </w:tcMar>
          </w:tcPr>
          <w:p>
            <w:pPr>
              <w:spacing w:after="20"/>
            </w:pPr>
            <w:r>
              <w:rPr>
                <w:b/>
                <w:color w:val="17365D"/>
                <w:sz w:val="20"/>
              </w:rPr>
              <w:t>Short version Jeff could socialize</w:t>
            </w:r>
          </w:p>
          <w:p>
            <w:pPr>
              <w:spacing w:after="0"/>
            </w:pPr>
            <w:r>
              <w:t>We originally looked at Mix Optimization and Predictive Quality Analysis, and both still have potential. After looking more closely at the business risk, I think there is also a lower-risk opportunity we can test sooner: use WSP's historical IMTS data to show clients and engineers what happened in comparable past conditions, along with project-level quality trends. This could differentiate our materials-testing service and help us win more work, while keeping engineering judgment with the engineer. Predictive quality and mix optimization can remain additional capabilities where the data, validation, and client need justify them.</w:t>
            </w:r>
          </w:p>
        </w:tc>
      </w:tr>
    </w:tbl>
    <w:p>
      <w:pPr>
        <w:pStyle w:val="Heading1"/>
      </w:pPr>
      <w:r>
        <w:t>Suggested Validation Question</w:t>
      </w:r>
    </w:p>
    <w:p>
      <w:r>
        <w:rPr>
          <w:b/>
        </w:rPr>
        <w:t>Can IMTS help WSP engineers and clients answer real project questions better than the current report-only approach?</w:t>
      </w:r>
    </w:p>
    <w:p>
      <w:r>
        <w:t>A small pilot using approved concrete data could test whether the historical comparison and dashboard actually save review time, improve understanding, or strengthen a client conversation before a larger investment is made.</w:t>
      </w:r>
    </w:p>
    <w:p>
      <w:pPr>
        <w:spacing w:before="80" w:after="0"/>
      </w:pPr>
      <w:r>
        <w:rPr>
          <w:b/>
          <w:sz w:val="16"/>
        </w:rPr>
        <w:t xml:space="preserve">Market references: </w:t>
      </w:r>
      <w:r>
        <w:rPr>
          <w:color w:val="646464"/>
          <w:sz w:val="16"/>
        </w:rPr>
        <w:t>AASHTOWare Project Data Analytics and 2026 Materials Analytics Study; FHWA Construction Quality Database Guidance; Giatec SmartMix.</w:t>
      </w:r>
    </w:p>
    <w:sectPr w:rsidR="00FC693F" w:rsidRPr="0006063C" w:rsidSect="00034616">
      <w:footerReference w:type="default" r:id="rId9"/>
      <w:pgSz w:w="12240" w:h="15840"/>
      <w:pgMar w:top="648"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IMTS Business Opportunity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3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ptos" w:hAnsi="Aptos"/>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50" w:line="240" w:lineRule="auto" w:before="120"/>
      <w:contextualSpacing/>
    </w:pPr>
    <w:rPr>
      <w:rFonts w:asciiTheme="majorHAnsi" w:eastAsiaTheme="majorEastAsia" w:hAnsiTheme="majorHAnsi" w:cstheme="majorBidi" w:ascii="Aptos Display" w:hAnsi="Aptos Display"/>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