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0"/>
        </w:rPr>
        <w:t>IMTS Historical Materials Intelligence</w:t>
      </w:r>
    </w:p>
    <w:p>
      <w:pPr>
        <w:jc w:val="center"/>
      </w:pPr>
      <w:r>
        <w:rPr>
          <w:b/>
          <w:color w:val="44546A"/>
          <w:sz w:val="30"/>
        </w:rPr>
        <w:t>A Lower-Risk Client-Facing Business Opportunity</w:t>
      </w:r>
    </w:p>
    <w:p>
      <w:pPr>
        <w:spacing w:before="80"/>
        <w:jc w:val="center"/>
      </w:pPr>
      <w:r>
        <w:rPr>
          <w:i/>
          <w:color w:val="6E6E6E"/>
          <w:sz w:val="21"/>
        </w:rPr>
        <w:t>Concept for discussion with Jeff</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vAlign w:val="center"/>
          </w:tcPr>
          <w:p>
            <w:pPr>
              <w:spacing w:after="40"/>
            </w:pPr>
            <w:r>
              <w:rPr>
                <w:b/>
                <w:color w:val="17365D"/>
              </w:rPr>
              <w:t>Core idea</w:t>
            </w:r>
          </w:p>
          <w:p>
            <w:pPr>
              <w:spacing w:after="0"/>
            </w:pPr>
            <w:r>
              <w:t>Instead of predicting whether a current concrete placement will pass or fail, use approved historical IMTS data to show what actually happened in comparable past conditions. The engineer or client keeps the final engineering judgment.</w:t>
            </w:r>
          </w:p>
        </w:tc>
      </w:tr>
    </w:tbl>
    <w:p>
      <w:pPr>
        <w:spacing w:after="0"/>
      </w:pPr>
    </w:p>
    <w:p>
      <w:pPr>
        <w:pStyle w:val="Heading1"/>
      </w:pPr>
      <w:r>
        <w:t>Executive Summary</w:t>
      </w:r>
    </w:p>
    <w:p>
      <w:r>
        <w:rPr>
          <w:b/>
        </w:rPr>
        <w:t xml:space="preserve">Mix Optimization and Predictive Quality Analysis can provide useful information, but client-facing predictions create additional decision and liability risk. </w:t>
      </w:r>
      <w:r>
        <w:t>A false alarm or an incorrect prediction could lead to unnecessary investigation, extra testing, schedule impacts, or disputes about who relied on the prediction.</w:t>
      </w:r>
    </w:p>
    <w:p>
      <w:r>
        <w:rPr>
          <w:b/>
        </w:rPr>
        <w:t xml:space="preserve">A more practical first commercial offering is to use IMTS historical material-testing data as decision-support evidence. </w:t>
      </w:r>
      <w:r>
        <w:t>The system would filter historical records using the conditions of a current placement and show the actual outcomes of similar past tests through a dashboard. This gives experienced engineers and clients more context without WSP making the final prediction for them.</w:t>
      </w:r>
    </w:p>
    <w:p>
      <w:pPr>
        <w:pStyle w:val="Heading1"/>
      </w:pPr>
      <w:r>
        <w:t>1. Why the Predictive Approach Carries More Risk</w:t>
      </w:r>
    </w:p>
    <w:p>
      <w:pPr>
        <w:pStyle w:val="ListBullet"/>
        <w:spacing w:after="40"/>
      </w:pPr>
      <w:r>
        <w:t>A predicted failure can become a false alarm even when the actual 28-day result ultimately passes.</w:t>
      </w:r>
    </w:p>
    <w:p>
      <w:pPr>
        <w:pStyle w:val="ListBullet"/>
        <w:spacing w:after="40"/>
      </w:pPr>
      <w:r>
        <w:t>A false alarm can trigger unnecessary review, retesting, contractor questions, or schedule disruption.</w:t>
      </w:r>
    </w:p>
    <w:p>
      <w:pPr>
        <w:pStyle w:val="ListBullet"/>
        <w:spacing w:after="40"/>
      </w:pPr>
      <w:r>
        <w:t>If a client acts on the prediction, responsibility for the recommendation can become unclear.</w:t>
      </w:r>
    </w:p>
    <w:p>
      <w:pPr>
        <w:pStyle w:val="ListBullet"/>
        <w:spacing w:after="40"/>
      </w:pPr>
      <w:r>
        <w:t>Predictive models can still be valuable, but they may be better used internally or as an optional advanced capability after further validation.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4E5"/>
            <w:vAlign w:val="center"/>
          </w:tcPr>
          <w:p>
            <w:pPr>
              <w:spacing w:after="40"/>
            </w:pPr>
            <w:r>
              <w:rPr>
                <w:b/>
                <w:color w:val="C65911"/>
              </w:rPr>
              <w:t>Recommended distinction</w:t>
            </w:r>
          </w:p>
          <w:p>
            <w:pPr>
              <w:spacing w:after="0"/>
            </w:pPr>
            <w:r>
              <w:t>Actual test result = Pass / Fail. Predictive analytics = optional internal risk signal. Historical comparison = client-facing decision support based on observed past outcomes.</w:t>
            </w:r>
          </w:p>
        </w:tc>
      </w:tr>
    </w:tbl>
    <w:p>
      <w:pPr>
        <w:spacing w:after="0"/>
      </w:pPr>
    </w:p>
    <w:p>
      <w:pPr>
        <w:pStyle w:val="Heading1"/>
        <w:pageBreakBefore/>
      </w:pPr>
      <w:r>
        <w:t>2. Proposed Service: Concrete Historical Comparison Dashboard</w:t>
      </w:r>
    </w:p>
    <w:p>
      <w:r>
        <w:rPr>
          <w:b/>
        </w:rPr>
        <w:t xml:space="preserve">The service would answer a different question: </w:t>
      </w:r>
      <w:r>
        <w:t>"What happened historically when concrete was placed under conditions similar to this one?"</w:t>
      </w:r>
    </w:p>
    <w:p>
      <w:pPr>
        <w:pStyle w:val="Heading2"/>
      </w:pPr>
      <w:r>
        <w:t>Example Current Placement Criteria</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Pr>
                <w:b/>
                <w:color w:val="17365D"/>
              </w:rPr>
              <w:t>Actual Slump</w:t>
            </w:r>
          </w:p>
        </w:tc>
        <w:tc>
          <w:tcPr>
            <w:tcW w:type="dxa" w:w="2520"/>
            <w:vAlign w:val="center"/>
          </w:tcPr>
          <w:p>
            <w:r>
              <w:t>4.0 in</w:t>
            </w:r>
          </w:p>
        </w:tc>
        <w:tc>
          <w:tcPr>
            <w:tcW w:type="dxa" w:w="2520"/>
            <w:vAlign w:val="center"/>
            <w:shd w:fill="D9EAF7"/>
          </w:tcPr>
          <w:p>
            <w:r>
              <w:rPr>
                <w:b/>
                <w:color w:val="17365D"/>
              </w:rPr>
              <w:t>Slump Specification</w:t>
            </w:r>
          </w:p>
        </w:tc>
        <w:tc>
          <w:tcPr>
            <w:tcW w:type="dxa" w:w="2520"/>
            <w:vAlign w:val="center"/>
          </w:tcPr>
          <w:p>
            <w:r>
              <w:t>3.5-4.5 in</w:t>
            </w:r>
          </w:p>
        </w:tc>
      </w:tr>
      <w:tr>
        <w:trPr>
          <w:cantSplit/>
        </w:trPr>
        <w:tc>
          <w:tcPr>
            <w:tcW w:type="dxa" w:w="2520"/>
            <w:vAlign w:val="center"/>
            <w:shd w:fill="D9EAF7"/>
          </w:tcPr>
          <w:p>
            <w:r>
              <w:rPr>
                <w:b/>
                <w:color w:val="17365D"/>
              </w:rPr>
              <w:t>Actual Air</w:t>
            </w:r>
          </w:p>
        </w:tc>
        <w:tc>
          <w:tcPr>
            <w:tcW w:type="dxa" w:w="2520"/>
            <w:vAlign w:val="center"/>
          </w:tcPr>
          <w:p>
            <w:r>
              <w:t>6.0%</w:t>
            </w:r>
          </w:p>
        </w:tc>
        <w:tc>
          <w:tcPr>
            <w:tcW w:type="dxa" w:w="2520"/>
            <w:vAlign w:val="center"/>
            <w:shd w:fill="D9EAF7"/>
          </w:tcPr>
          <w:p>
            <w:r>
              <w:rPr>
                <w:b/>
                <w:color w:val="17365D"/>
              </w:rPr>
              <w:t>Air Specification</w:t>
            </w:r>
          </w:p>
        </w:tc>
        <w:tc>
          <w:tcPr>
            <w:tcW w:type="dxa" w:w="2520"/>
            <w:vAlign w:val="center"/>
          </w:tcPr>
          <w:p>
            <w:r>
              <w:t>5.0-7.0%</w:t>
            </w:r>
          </w:p>
        </w:tc>
      </w:tr>
      <w:tr>
        <w:trPr>
          <w:cantSplit/>
        </w:trPr>
        <w:tc>
          <w:tcPr>
            <w:tcW w:type="dxa" w:w="2520"/>
            <w:vAlign w:val="center"/>
            <w:shd w:fill="D9EAF7"/>
          </w:tcPr>
          <w:p>
            <w:r>
              <w:rPr>
                <w:b/>
                <w:color w:val="17365D"/>
              </w:rPr>
              <w:t>Concrete Temperature</w:t>
            </w:r>
          </w:p>
        </w:tc>
        <w:tc>
          <w:tcPr>
            <w:tcW w:type="dxa" w:w="2520"/>
            <w:vAlign w:val="center"/>
          </w:tcPr>
          <w:p>
            <w:r>
              <w:t>78 F</w:t>
            </w:r>
          </w:p>
        </w:tc>
        <w:tc>
          <w:tcPr>
            <w:tcW w:type="dxa" w:w="2520"/>
            <w:vAlign w:val="center"/>
            <w:shd w:fill="D9EAF7"/>
          </w:tcPr>
          <w:p>
            <w:r>
              <w:rPr>
                <w:b/>
                <w:color w:val="17365D"/>
              </w:rPr>
              <w:t>Required Strength</w:t>
            </w:r>
          </w:p>
        </w:tc>
        <w:tc>
          <w:tcPr>
            <w:tcW w:type="dxa" w:w="2520"/>
            <w:vAlign w:val="center"/>
          </w:tcPr>
          <w:p>
            <w:r>
              <w:t>4,000 psi @ 28 days</w:t>
            </w:r>
          </w:p>
        </w:tc>
      </w:tr>
      <w:tr>
        <w:trPr>
          <w:cantSplit/>
        </w:trPr>
        <w:tc>
          <w:tcPr>
            <w:tcW w:type="dxa" w:w="2520"/>
            <w:vAlign w:val="center"/>
            <w:shd w:fill="D9EAF7"/>
          </w:tcPr>
          <w:p>
            <w:r>
              <w:rPr>
                <w:b/>
                <w:color w:val="17365D"/>
              </w:rPr>
              <w:t>Placement Type</w:t>
            </w:r>
          </w:p>
        </w:tc>
        <w:tc>
          <w:tcPr>
            <w:tcW w:type="dxa" w:w="2520"/>
            <w:vAlign w:val="center"/>
          </w:tcPr>
          <w:p>
            <w:r>
              <w:t>Wall</w:t>
            </w:r>
          </w:p>
        </w:tc>
        <w:tc>
          <w:tcPr>
            <w:tcW w:type="dxa" w:w="2520"/>
            <w:vAlign w:val="center"/>
            <w:shd w:fill="D9EAF7"/>
          </w:tcPr>
          <w:p>
            <w:r>
              <w:rPr>
                <w:b/>
                <w:color w:val="17365D"/>
              </w:rPr>
              <w:t>Supplier</w:t>
            </w:r>
          </w:p>
        </w:tc>
        <w:tc>
          <w:tcPr>
            <w:tcW w:type="dxa" w:w="2520"/>
            <w:vAlign w:val="center"/>
          </w:tcPr>
          <w:p>
            <w:r>
              <w:t>Supplier A</w:t>
            </w:r>
          </w:p>
        </w:tc>
      </w:tr>
      <w:tr>
        <w:trPr>
          <w:cantSplit/>
        </w:trPr>
        <w:tc>
          <w:tcPr>
            <w:tcW w:type="dxa" w:w="2520"/>
            <w:vAlign w:val="center"/>
            <w:shd w:fill="D9EAF7"/>
          </w:tcPr>
          <w:p>
            <w:r>
              <w:rPr>
                <w:b/>
                <w:color w:val="17365D"/>
              </w:rPr>
              <w:t>7-Day Strength</w:t>
            </w:r>
          </w:p>
        </w:tc>
        <w:tc>
          <w:tcPr>
            <w:tcW w:type="dxa" w:w="2520"/>
            <w:vAlign w:val="center"/>
          </w:tcPr>
          <w:p>
            <w:r>
              <w:t>3,100 psi</w:t>
            </w:r>
          </w:p>
        </w:tc>
        <w:tc>
          <w:tcPr>
            <w:tcW w:type="dxa" w:w="2520"/>
            <w:vAlign w:val="center"/>
            <w:shd w:fill="D9EAF7"/>
          </w:tcPr>
          <w:p>
            <w:r>
              <w:rPr>
                <w:b/>
                <w:color w:val="17365D"/>
              </w:rPr>
              <w:t>Historical Match Tolerance</w:t>
            </w:r>
          </w:p>
        </w:tc>
        <w:tc>
          <w:tcPr>
            <w:tcW w:type="dxa" w:w="2520"/>
            <w:vAlign w:val="center"/>
          </w:tcPr>
          <w:p>
            <w:r>
              <w:t>User adjustable</w:t>
            </w:r>
          </w:p>
        </w:tc>
      </w:tr>
    </w:tbl>
    <w:p/>
    <w:p>
      <w:r>
        <w:rPr>
          <w:b/>
        </w:rPr>
        <w:t>Example dashboard response:</w:t>
      </w:r>
    </w:p>
    <w:p>
      <w:r>
        <w:rPr>
          <w:b/>
        </w:rPr>
        <w:t>1,284 similar historical tests found</w:t>
      </w:r>
    </w:p>
    <w:p>
      <w:pPr>
        <w:pStyle w:val="ListBullet"/>
        <w:spacing w:after="40"/>
      </w:pPr>
      <w:r>
        <w:t>28-day pass: 1,236 (96.3%)</w:t>
      </w:r>
    </w:p>
    <w:p>
      <w:pPr>
        <w:pStyle w:val="ListBullet"/>
        <w:spacing w:after="40"/>
      </w:pPr>
      <w:r>
        <w:t>28-day fail: 48 (3.7%)</w:t>
      </w:r>
    </w:p>
    <w:p>
      <w:pPr>
        <w:pStyle w:val="ListBullet"/>
        <w:spacing w:after="40"/>
      </w:pPr>
      <w:r>
        <w:t>Average 7-day strength: 3,210 psi</w:t>
      </w:r>
    </w:p>
    <w:p>
      <w:pPr>
        <w:pStyle w:val="ListBullet"/>
        <w:spacing w:after="40"/>
      </w:pPr>
      <w:r>
        <w:t>Average 28-day strength: 5,080 psi</w:t>
      </w:r>
    </w:p>
    <w:p>
      <w:pPr>
        <w:pStyle w:val="ListBullet"/>
        <w:spacing w:after="40"/>
      </w:pPr>
      <w:r>
        <w:t>P10-P90 28-day strength: 4,350-5,920 psi</w:t>
      </w:r>
    </w:p>
    <w:tbl>
      <w:tblPr>
        <w:tblW w:type="auto" w:w="0"/>
        <w:jc w:val="center"/>
        <w:tblLayout w:type="autofit"/>
        <w:tblLook w:firstColumn="1" w:firstRow="1" w:lastColumn="0" w:lastRow="0" w:noHBand="0" w:noVBand="1" w:val="04A0"/>
      </w:tblPr>
      <w:tblGrid>
        <w:gridCol w:w="10080"/>
      </w:tblGrid>
      <w:tr>
        <w:trPr>
          <w:cantSplit/>
        </w:trPr>
        <w:tc>
          <w:tcPr>
            <w:tcW w:type="dxa" w:w="10080"/>
            <w:shd w:fill="E2F0D9"/>
            <w:vAlign w:val="center"/>
          </w:tcPr>
          <w:p>
            <w:pPr>
              <w:spacing w:after="40"/>
            </w:pPr>
            <w:r>
              <w:rPr>
                <w:b/>
                <w:color w:val="548235"/>
              </w:rPr>
              <w:t>Important wording</w:t>
            </w:r>
          </w:p>
          <w:p>
            <w:pPr>
              <w:spacing w:after="0"/>
            </w:pPr>
            <w:r>
              <w:t>These are historical outcomes from approved tests meeting the selected criteria. They are not predictions of the current placement.</w:t>
            </w:r>
          </w:p>
        </w:tc>
      </w:tr>
    </w:tbl>
    <w:p>
      <w:pPr>
        <w:spacing w:after="0"/>
      </w:pPr>
    </w:p>
    <w:p>
      <w:pPr>
        <w:pStyle w:val="Heading1"/>
      </w:pPr>
      <w:r>
        <w:t>3. Client / Engineer Questions the Dashboard Could Answer</w:t>
      </w:r>
    </w:p>
    <w:p>
      <w:pPr>
        <w:pStyle w:val="Heading2"/>
      </w:pPr>
      <w:r>
        <w:t>1. What happened historically under conditions similar to this placement?</w:t>
      </w:r>
    </w:p>
    <w:p>
      <w:r>
        <w:rPr>
          <w:b/>
        </w:rPr>
        <w:t xml:space="preserve">Example dashboard response: </w:t>
      </w:r>
      <w:r>
        <w:t>The dashboard finds 1,284 comparable historical tests. Of those, 96.3% met the 28-day strength requirement and 3.7% did not. It also shows the full 28-day strength distribution so the engineer can see variability, not just a pass/fail percentage.</w:t>
      </w:r>
    </w:p>
    <w:p>
      <w:pPr>
        <w:pStyle w:val="Heading2"/>
      </w:pPr>
      <w:r>
        <w:t>2. Our 7-day strength is lower than expected. What happened in similar historical cases at 28 days?</w:t>
      </w:r>
    </w:p>
    <w:p>
      <w:r>
        <w:rPr>
          <w:b/>
        </w:rPr>
        <w:t xml:space="preserve">Example dashboard response: </w:t>
      </w:r>
      <w:r>
        <w:t>For a current 7-day strength of 3,100 psi and a required 28-day strength of 4,000 psi, the dashboard finds 843 comparable cases. In those cases, 791 reached at least 4,000 psi at 28 days and 52 did not. The engineer can review the range and distribution before deciding whether action is needed.</w:t>
      </w:r>
    </w:p>
    <w:p>
      <w:pPr>
        <w:pStyle w:val="Heading2"/>
      </w:pPr>
      <w:r>
        <w:t>3. How has this supplier performed under comparable conditions?</w:t>
      </w:r>
    </w:p>
    <w:p>
      <w:r>
        <w:rPr>
          <w:b/>
        </w:rPr>
        <w:t xml:space="preserve">Example dashboard response: </w:t>
      </w:r>
      <w:r>
        <w:t>The dashboard first controls for similar conditions such as required strength, placement type, slump, air, and temperature. Example result: Supplier A 98.1%, Supplier B 95.0%, Supplier C 93.2%, Supplier D 94.7% historical 28-day pass rate.</w:t>
      </w:r>
    </w:p>
    <w:p>
      <w:pPr>
        <w:pStyle w:val="Heading2"/>
      </w:pPr>
      <w:r>
        <w:t>4. What historically happened when slump was outside specification?</w:t>
      </w:r>
    </w:p>
    <w:p>
      <w:r>
        <w:rPr>
          <w:b/>
        </w:rPr>
        <w:t xml:space="preserve">Example dashboard response: </w:t>
      </w:r>
      <w:r>
        <w:t>The dashboard finds 327 comparable historical tests with slump outside the selected specification range. Example: 294 passed 28-day strength and 33 failed. It can also separate low-slump and high-slump cases and show how the strength distribution changed.</w:t>
      </w:r>
    </w:p>
    <w:p>
      <w:pPr>
        <w:pStyle w:val="Heading2"/>
      </w:pPr>
      <w:r>
        <w:t>5. What happened when air content was outside specification?</w:t>
      </w:r>
    </w:p>
    <w:p>
      <w:r>
        <w:rPr>
          <w:b/>
        </w:rPr>
        <w:t xml:space="preserve">Example dashboard response: </w:t>
      </w:r>
      <w:r>
        <w:t>The dashboard compares air within specification, below specification, and above specification. Example: in-spec 97.1% pass, below-spec 91.4%, above-spec 88.9%. This is shown as an observed historical relationship, not as proof of causation.</w:t>
      </w:r>
    </w:p>
    <w:p>
      <w:pPr>
        <w:pStyle w:val="Heading2"/>
      </w:pPr>
      <w:r>
        <w:t>6. What happened when several Day-0 measurements were out of specification at the same time?</w:t>
      </w:r>
    </w:p>
    <w:p>
      <w:r>
        <w:rPr>
          <w:b/>
        </w:rPr>
        <w:t xml:space="preserve">Example dashboard response: </w:t>
      </w:r>
      <w:r>
        <w:t>Example: slump out of spec + air out of spec + high concrete temperature. The dashboard finds 86 similar historical cases: 69 later passed 28-day strength and 17 failed. This lets the engineer examine combinations of field conditions rather than one measurement at a time.</w:t>
      </w:r>
    </w:p>
    <w:p>
      <w:pPr>
        <w:pStyle w:val="Heading2"/>
      </w:pPr>
      <w:r>
        <w:t>7. How has this concrete mix historically performed?</w:t>
      </w:r>
    </w:p>
    <w:p>
      <w:r>
        <w:rPr>
          <w:b/>
        </w:rPr>
        <w:t xml:space="preserve">Example dashboard response: </w:t>
      </w:r>
      <w:r>
        <w:t>The dashboard filters by mix number, supplier, required strength, placement type, and similar fresh-concrete measurements. It can show average 7-day and 28-day strength, historical failure rate, slump and air distributions, and strength variability.</w:t>
      </w:r>
    </w:p>
    <w:p>
      <w:pPr>
        <w:pStyle w:val="Heading2"/>
      </w:pPr>
      <w:r>
        <w:t>8. Does placement type show a different historical outcome under similar conditions?</w:t>
      </w:r>
    </w:p>
    <w:p>
      <w:r>
        <w:rPr>
          <w:b/>
        </w:rPr>
        <w:t xml:space="preserve">Example dashboard response: </w:t>
      </w:r>
      <w:r>
        <w:t>The dashboard can compare walls, slabs, footings, columns, pavement, or other placement types after applying comparable material and specification filters. The engineer can see where variability or exceptions have historically been higher.</w:t>
      </w:r>
    </w:p>
    <w:p>
      <w:pPr>
        <w:pStyle w:val="Heading2"/>
      </w:pPr>
      <w:r>
        <w:t>9. Is the current project performing differently from similar historical work?</w:t>
      </w:r>
    </w:p>
    <w:p>
      <w:r>
        <w:rPr>
          <w:b/>
        </w:rPr>
        <w:t xml:space="preserve">Example dashboard response: </w:t>
      </w:r>
      <w:r>
        <w:t>Example: comparable historical average 28-day strength = 5,120 psi; current project average = 4,620 psi. The dashboard reports that current results are approximately 10% below the historical average without labeling the project as a failure or making a prediction.</w:t>
      </w:r>
    </w:p>
    <w:p>
      <w:pPr>
        <w:pStyle w:val="Heading2"/>
      </w:pPr>
      <w:r>
        <w:t>10. Is this failure unusual, or has it occurred regularly under similar conditions?</w:t>
      </w:r>
    </w:p>
    <w:p>
      <w:r>
        <w:rPr>
          <w:b/>
        </w:rPr>
        <w:t xml:space="preserve">Example dashboard response: </w:t>
      </w:r>
      <w:r>
        <w:t>After a 28-day failure, the dashboard finds 482 comparable historical tests with a historical failure rate of 2.7%. That gives the engineer context about how unusual the event is. If the comparable historical failure rate were much higher, the context would be very different.</w:t>
      </w:r>
    </w:p>
    <w:p>
      <w:pPr>
        <w:pStyle w:val="Heading1"/>
      </w:pPr>
      <w:r>
        <w:t>4. Why This Could Create Client Value</w:t>
      </w:r>
    </w:p>
    <w:p>
      <w:r>
        <w:rPr>
          <w:b/>
        </w:rPr>
        <w:t xml:space="preserve">The value is not simply another dashboard. </w:t>
      </w:r>
      <w:r>
        <w:t>The value is converting WSP's accumulated material-testing history into useful project context that an individual client normally cannot see from isolated test reports.</w:t>
      </w:r>
    </w:p>
    <w:p>
      <w:pPr>
        <w:pStyle w:val="ListBullet"/>
        <w:spacing w:after="40"/>
      </w:pPr>
      <w:r>
        <w:t>Understand whether a current result is common or unusual.</w:t>
      </w:r>
    </w:p>
    <w:p>
      <w:pPr>
        <w:pStyle w:val="ListBullet"/>
        <w:spacing w:after="40"/>
      </w:pPr>
      <w:r>
        <w:t>Compare suppliers under similar conditions instead of comparing unrelated tests.</w:t>
      </w:r>
    </w:p>
    <w:p>
      <w:pPr>
        <w:pStyle w:val="ListBullet"/>
        <w:spacing w:after="40"/>
      </w:pPr>
      <w:r>
        <w:t>Review recurring concrete-quality patterns.</w:t>
      </w:r>
    </w:p>
    <w:p>
      <w:pPr>
        <w:pStyle w:val="ListBullet"/>
        <w:spacing w:after="40"/>
      </w:pPr>
      <w:r>
        <w:t>Understand the historical effect of fresh-concrete exceptions.</w:t>
      </w:r>
    </w:p>
    <w:p>
      <w:pPr>
        <w:pStyle w:val="ListBullet"/>
        <w:spacing w:after="40"/>
      </w:pPr>
      <w:r>
        <w:t>See how early-age strength historically developed to 28-day strength.</w:t>
      </w:r>
    </w:p>
    <w:p>
      <w:pPr>
        <w:pStyle w:val="ListBullet"/>
        <w:spacing w:after="40"/>
      </w:pPr>
      <w:r>
        <w:t>Compare current project performance with comparable historical work.</w:t>
      </w:r>
    </w:p>
    <w:p>
      <w:pPr>
        <w:pStyle w:val="ListBullet"/>
        <w:spacing w:after="40"/>
      </w:pPr>
      <w:r>
        <w:t>Focus engineering attention where additional review may be worthwhile.</w:t>
      </w:r>
    </w:p>
    <w:p>
      <w:pPr>
        <w:pStyle w:val="Heading1"/>
      </w:pPr>
      <w:r>
        <w:t>5. Recommended Product Positioning</w:t>
      </w:r>
    </w:p>
    <w:p>
      <w:r>
        <w:rPr>
          <w:b/>
        </w:rPr>
        <w:t xml:space="preserve">Recommended name: </w:t>
      </w:r>
      <w:r>
        <w:t>Historical Materials Intelligence</w:t>
      </w:r>
    </w:p>
    <w:p>
      <w:r>
        <w:rPr>
          <w:b/>
        </w:rPr>
        <w:t xml:space="preserve">Alternative name: </w:t>
      </w:r>
      <w:r>
        <w:t>Project Quality Decision Support</w:t>
      </w:r>
    </w:p>
    <w:tbl>
      <w:tblPr>
        <w:tblW w:type="auto" w:w="0"/>
        <w:jc w:val="center"/>
        <w:tblLayout w:type="autofit"/>
        <w:tblLook w:firstColumn="1" w:firstRow="1" w:lastColumn="0" w:lastRow="0" w:noHBand="0" w:noVBand="1" w:val="04A0"/>
      </w:tblPr>
      <w:tblGrid>
        <w:gridCol w:w="10080"/>
      </w:tblGrid>
      <w:tr>
        <w:trPr>
          <w:cantSplit/>
        </w:trPr>
        <w:tc>
          <w:tcPr>
            <w:tcW w:type="dxa" w:w="10080"/>
            <w:shd w:fill="DDEBF7"/>
            <w:vAlign w:val="center"/>
          </w:tcPr>
          <w:p>
            <w:pPr>
              <w:spacing w:after="40"/>
            </w:pPr>
            <w:r>
              <w:rPr>
                <w:b/>
                <w:color w:val="17365D"/>
              </w:rPr>
              <w:t>Recommended business message</w:t>
            </w:r>
          </w:p>
          <w:p>
            <w:pPr>
              <w:spacing w:after="0"/>
            </w:pPr>
            <w:r>
              <w:t>Instead of predicting whether a test will fail, WSP can use its historical materials testing data to show engineers what happened in comparable past conditions, giving them better evidence to make their own engineering decisions.</w:t>
            </w:r>
          </w:p>
        </w:tc>
      </w:tr>
    </w:tbl>
    <w:p>
      <w:pPr>
        <w:spacing w:after="0"/>
      </w:pPr>
    </w:p>
    <w:p>
      <w:pPr>
        <w:pStyle w:val="Heading1"/>
      </w:pPr>
      <w:r>
        <w:t>6. Suggested Product Roadmap</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7365D"/>
          </w:tcPr>
          <w:p>
            <w:r>
              <w:rPr>
                <w:b/>
                <w:color w:val="FFFFFF"/>
              </w:rPr>
              <w:t>Phase</w:t>
            </w:r>
          </w:p>
        </w:tc>
        <w:tc>
          <w:tcPr>
            <w:tcW w:type="dxa" w:w="5040"/>
            <w:shd w:fill="17365D"/>
          </w:tcPr>
          <w:p>
            <w:r>
              <w:rPr>
                <w:b/>
                <w:color w:val="FFFFFF"/>
              </w:rPr>
              <w:t>Focus</w:t>
            </w:r>
          </w:p>
        </w:tc>
      </w:tr>
      <w:tr>
        <w:trPr>
          <w:cantSplit/>
        </w:trPr>
        <w:tc>
          <w:tcPr>
            <w:tcW w:type="dxa" w:w="5040"/>
            <w:shd w:fill="EAF2F8"/>
          </w:tcPr>
          <w:p>
            <w:r>
              <w:rPr>
                <w:b/>
              </w:rPr>
              <w:t>Phase 1</w:t>
            </w:r>
          </w:p>
        </w:tc>
        <w:tc>
          <w:tcPr>
            <w:tcW w:type="dxa" w:w="5040"/>
          </w:tcPr>
          <w:p>
            <w:r>
              <w:t>Client dashboard using approved historical data, filters, trends, and actual failures.</w:t>
            </w:r>
          </w:p>
        </w:tc>
      </w:tr>
      <w:tr>
        <w:trPr>
          <w:cantSplit/>
        </w:trPr>
        <w:tc>
          <w:tcPr>
            <w:tcW w:type="dxa" w:w="5040"/>
            <w:shd w:fill="EAF2F8"/>
          </w:tcPr>
          <w:p>
            <w:r>
              <w:rPr>
                <w:b/>
              </w:rPr>
              <w:t>Phase 2</w:t>
            </w:r>
          </w:p>
        </w:tc>
        <w:tc>
          <w:tcPr>
            <w:tcW w:type="dxa" w:w="5040"/>
          </w:tcPr>
          <w:p>
            <w:r>
              <w:t>Historical comparison: Find Similar Historical Tests using current placement conditions and adjustable tolerances.</w:t>
            </w:r>
          </w:p>
        </w:tc>
      </w:tr>
      <w:tr>
        <w:trPr>
          <w:cantSplit/>
        </w:trPr>
        <w:tc>
          <w:tcPr>
            <w:tcW w:type="dxa" w:w="5040"/>
            <w:shd w:fill="EAF2F8"/>
          </w:tcPr>
          <w:p>
            <w:r>
              <w:rPr>
                <w:b/>
              </w:rPr>
              <w:t>Phase 3</w:t>
            </w:r>
          </w:p>
        </w:tc>
        <w:tc>
          <w:tcPr>
            <w:tcW w:type="dxa" w:w="5040"/>
          </w:tcPr>
          <w:p>
            <w:r>
              <w:t>Supplier, mix, placement, and project benchmarking with normalized master data where needed.</w:t>
            </w:r>
          </w:p>
        </w:tc>
      </w:tr>
      <w:tr>
        <w:trPr>
          <w:cantSplit/>
        </w:trPr>
        <w:tc>
          <w:tcPr>
            <w:tcW w:type="dxa" w:w="5040"/>
            <w:shd w:fill="EAF2F8"/>
          </w:tcPr>
          <w:p>
            <w:r>
              <w:rPr>
                <w:b/>
              </w:rPr>
              <w:t>Phase 4</w:t>
            </w:r>
          </w:p>
        </w:tc>
        <w:tc>
          <w:tcPr>
            <w:tcW w:type="dxa" w:w="5040"/>
          </w:tcPr>
          <w:p>
            <w:r>
              <w:t>Optional predictive analytics for internal engineering review or specifically contracted advanced analytics.</w:t>
            </w:r>
          </w:p>
        </w:tc>
      </w:tr>
    </w:tbl>
    <w:p>
      <w:pPr>
        <w:pStyle w:val="Heading1"/>
      </w:pPr>
      <w:r>
        <w:t>Closing Thought</w:t>
      </w:r>
    </w:p>
    <w:p>
      <w:r>
        <w:rPr>
          <w:b/>
        </w:rPr>
        <w:t>Predictive analytics can remain part of the longer-term vision, but historical comparison may be a stronger first commercial product because it uses evidence WSP already owns, preserves engineering judgment, and reduces the risk of presenting model output as an engineering conclusion.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IMTS Historical Materials Intelligence | Business Opportunity Discussion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