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BAD7" w14:textId="08359992" w:rsidR="00795166" w:rsidRDefault="00795166" w:rsidP="00795166"/>
    <w:tbl>
      <w:tblPr>
        <w:tblW w:w="99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540"/>
      </w:tblGrid>
      <w:tr w:rsidR="00795166" w14:paraId="4EA5BB06" w14:textId="77777777" w:rsidTr="00795166">
        <w:trPr>
          <w:tblCellSpacing w:w="0" w:type="dxa"/>
          <w:jc w:val="center"/>
        </w:trPr>
        <w:tc>
          <w:tcPr>
            <w:tcW w:w="936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5BAD8" w14:textId="77777777" w:rsidR="00795166" w:rsidRDefault="00795166">
            <w:pPr>
              <w:pStyle w:val="designertable1"/>
              <w:spacing w:line="240" w:lineRule="atLeast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795166" w14:paraId="4EA5BB0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80"/>
                  </w:tblGrid>
                  <w:tr w:rsidR="00795166" w14:paraId="4EA5BADC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8" w:space="0" w:color="CCCCCC"/>
                          <w:left w:val="single" w:sz="8" w:space="0" w:color="CCCCCC"/>
                          <w:bottom w:val="nil"/>
                          <w:right w:val="single" w:sz="8" w:space="0" w:color="CCCCCC"/>
                        </w:tcBorders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60"/>
                        </w:tblGrid>
                        <w:tr w:rsidR="00795166" w14:paraId="4EA5BADA" w14:textId="77777777">
                          <w:trPr>
                            <w:jc w:val="center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24" w:space="0" w:color="88ABD5"/>
                                <w:right w:val="nil"/>
                              </w:tcBorders>
                              <w:tcMar>
                                <w:top w:w="0" w:type="dxa"/>
                                <w:left w:w="30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14:paraId="4EA5BAD9" w14:textId="3B76D607" w:rsidR="00795166" w:rsidRDefault="00F314ED">
                              <w:pPr>
                                <w:spacing w:line="240" w:lineRule="atLeast"/>
                              </w:pPr>
                              <w:commentRangeStart w:id="0"/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114300" distR="114300" simplePos="0" relativeHeight="251658240" behindDoc="0" locked="0" layoutInCell="1" allowOverlap="1" wp14:anchorId="1D063EF5" wp14:editId="5FE12E17">
                                    <wp:simplePos x="0" y="0"/>
                                    <wp:positionH relativeFrom="column">
                                      <wp:posOffset>4196715</wp:posOffset>
                                    </wp:positionH>
                                    <wp:positionV relativeFrom="paragraph">
                                      <wp:posOffset>21590</wp:posOffset>
                                    </wp:positionV>
                                    <wp:extent cx="1423035" cy="415290"/>
                                    <wp:effectExtent l="0" t="0" r="5715" b="3810"/>
                                    <wp:wrapNone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23035" cy="415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commentRangeEnd w:id="0"/>
                              <w:r>
                                <w:rPr>
                                  <w:rStyle w:val="CommentReference"/>
                                </w:rPr>
                                <w:commentReference w:id="0"/>
                              </w:r>
                              <w:r w:rsidR="00795166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EA5BB17" wp14:editId="58FDA594">
                                    <wp:extent cx="1888490" cy="474980"/>
                                    <wp:effectExtent l="0" t="0" r="0" b="1270"/>
                                    <wp:docPr id="4" name="Picture 4" descr="cid:image001.jpg@01D2A3F6.A31218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id:image001.jpg@01D2A3F6.A312180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 r:link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88490" cy="4749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4EA5BADB" w14:textId="77777777" w:rsidR="00795166" w:rsidRDefault="0079516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795166" w14:paraId="4EA5BAFF" w14:textId="77777777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single" w:sz="8" w:space="0" w:color="CCCCCC"/>
                          <w:bottom w:val="single" w:sz="8" w:space="0" w:color="CCCCCC"/>
                          <w:right w:val="single" w:sz="8" w:space="0" w:color="CCCCCC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"/>
                          <w:gridCol w:w="7760"/>
                          <w:gridCol w:w="750"/>
                        </w:tblGrid>
                        <w:tr w:rsidR="00795166" w14:paraId="4EA5BAE0" w14:textId="77777777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750" w:type="dxa"/>
                              <w:shd w:val="clear" w:color="auto" w:fill="DDDDDD"/>
                              <w:vAlign w:val="center"/>
                              <w:hideMark/>
                            </w:tcPr>
                            <w:p w14:paraId="4EA5BADD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DDDDDD"/>
                              <w:vAlign w:val="center"/>
                              <w:hideMark/>
                            </w:tcPr>
                            <w:p w14:paraId="4EA5BADE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dxa"/>
                              <w:shd w:val="clear" w:color="auto" w:fill="DDDDDD"/>
                              <w:vAlign w:val="center"/>
                              <w:hideMark/>
                            </w:tcPr>
                            <w:p w14:paraId="4EA5BADF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95166" w14:paraId="4EA5BAE6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750" w:type="dxa"/>
                              <w:shd w:val="clear" w:color="auto" w:fill="DDDDDD"/>
                              <w:vAlign w:val="center"/>
                              <w:hideMark/>
                            </w:tcPr>
                            <w:p w14:paraId="4EA5BAE1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DDDDDD"/>
                              <w:hideMark/>
                            </w:tcPr>
                            <w:p w14:paraId="4EA5BAE2" w14:textId="77777777" w:rsidR="00795166" w:rsidRDefault="00795166">
                              <w:pPr>
                                <w:spacing w:after="280" w:line="320" w:lineRule="atLeast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EA5BB19" wp14:editId="4EA5BB1A">
                                    <wp:extent cx="914400" cy="914400"/>
                                    <wp:effectExtent l="0" t="0" r="0" b="0"/>
                                    <wp:docPr id="3" name="Picture 3" descr="cid:image002.png@01D2A3F6.A31218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id:image002.png@01D2A3F6.A312180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 r:link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EA5BB1B" wp14:editId="4EA5BB1C">
                                    <wp:extent cx="914400" cy="914400"/>
                                    <wp:effectExtent l="0" t="0" r="0" b="0"/>
                                    <wp:docPr id="2" name="Picture 2" descr="cid:image003.png@01D2A3F6.A31218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id:image003.png@01D2A3F6.A312180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 r:link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4EA5BB1D" wp14:editId="4EA5BB1E">
                                    <wp:extent cx="914400" cy="914400"/>
                                    <wp:effectExtent l="0" t="0" r="0" b="0"/>
                                    <wp:docPr id="1" name="Picture 1" descr="cid:image004.png@01D2A3F6.A31218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id:image004.png@01D2A3F6.A312180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 r:link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EA5BAE3" w14:textId="77777777" w:rsidR="00795166" w:rsidRDefault="0079516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15880"/>
                                  <w:sz w:val="32"/>
                                  <w:szCs w:val="32"/>
                                </w:rPr>
                                <w:t>Unearth Payment Insights</w:t>
                              </w:r>
                            </w:p>
                            <w:p w14:paraId="4EA5BAE4" w14:textId="77777777" w:rsidR="00795166" w:rsidRDefault="00795166">
                              <w:pPr>
                                <w:spacing w:line="252" w:lineRule="auto"/>
                                <w:jc w:val="center"/>
                              </w:pPr>
                              <w:commentRangeStart w:id="1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115880"/>
                                  <w:sz w:val="32"/>
                                  <w:szCs w:val="32"/>
                                </w:rPr>
                                <w:t>Connect with J.P. Morgan at TRANSACT</w:t>
                              </w:r>
                              <w:commentRangeEnd w:id="1"/>
                              <w:r w:rsidR="001A511D">
                                <w:rPr>
                                  <w:rStyle w:val="CommentReference"/>
                                </w:rPr>
                                <w:commentReference w:id="1"/>
                              </w:r>
                            </w:p>
                          </w:tc>
                          <w:tc>
                            <w:tcPr>
                              <w:tcW w:w="750" w:type="dxa"/>
                              <w:shd w:val="clear" w:color="auto" w:fill="DDDDDD"/>
                              <w:vAlign w:val="center"/>
                              <w:hideMark/>
                            </w:tcPr>
                            <w:p w14:paraId="4EA5BAE5" w14:textId="77777777" w:rsidR="00795166" w:rsidRDefault="00795166"/>
                          </w:tc>
                        </w:tr>
                        <w:tr w:rsidR="00795166" w14:paraId="4EA5BAEA" w14:textId="77777777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750" w:type="dxa"/>
                              <w:vAlign w:val="center"/>
                              <w:hideMark/>
                            </w:tcPr>
                            <w:p w14:paraId="4EA5BAE7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A5BAE8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dxa"/>
                              <w:vAlign w:val="center"/>
                              <w:hideMark/>
                            </w:tcPr>
                            <w:p w14:paraId="4EA5BAE9" w14:textId="77777777" w:rsidR="00795166" w:rsidRDefault="00795166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EA5BAEB" w14:textId="77777777" w:rsidR="00795166" w:rsidRDefault="00795166">
                        <w:pPr>
                          <w:spacing w:line="240" w:lineRule="atLeas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May 10-12, 2017, Mandalay Bay, Las Vegas</w: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"/>
                          <w:gridCol w:w="7760"/>
                          <w:gridCol w:w="750"/>
                        </w:tblGrid>
                        <w:tr w:rsidR="00795166" w14:paraId="4EA5BAFD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750" w:type="dxa"/>
                              <w:vAlign w:val="center"/>
                              <w:hideMark/>
                            </w:tcPr>
                            <w:p w14:paraId="4EA5BAEC" w14:textId="77777777" w:rsidR="00795166" w:rsidRDefault="0079516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4EA5BAED" w14:textId="77777777" w:rsidR="00795166" w:rsidRDefault="00795166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EA5BAEE" w14:textId="77777777" w:rsidR="00795166" w:rsidRDefault="00795166">
                              <w:pPr>
                                <w:spacing w:line="252" w:lineRule="auto"/>
                                <w:ind w:left="740" w:right="54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E75B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2E75B6"/>
                                  <w:sz w:val="20"/>
                                  <w:szCs w:val="20"/>
                                </w:rPr>
                                <w:t>“Digital and mobile savvy customers are often a merchant’s most attractive customer, with 54% saying they are happy when they pay with a digital wallet.”</w:t>
                              </w:r>
                              <w:bookmarkStart w:id="2" w:name="_ednref1"/>
                              <w:bookmarkEnd w:id="2"/>
                              <w:r>
                                <w:rPr>
                                  <w:vertAlign w:val="superscript"/>
                                </w:rPr>
                                <w:fldChar w:fldCharType="begin"/>
                              </w:r>
                              <w:r>
                                <w:rPr>
                                  <w:vertAlign w:val="superscript"/>
                                </w:rPr>
                                <w:instrText xml:space="preserve"> HYPERLINK "" \l "_edn1" \o "" </w:instrText>
                              </w:r>
                              <w:r>
                                <w:rPr>
                                  <w:vertAlign w:val="superscript"/>
                                </w:rP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color w:val="2E75B6"/>
                                  <w:u w:val="none"/>
                                  <w:vertAlign w:val="superscript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color w:val="2E75B6"/>
                                  <w:u w:val="none"/>
                                  <w:vertAlign w:val="superscript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color w:val="2E75B6"/>
                                  <w:u w:val="none"/>
                                  <w:vertAlign w:val="superscript"/>
                                </w:rPr>
                                <w:t>]</w:t>
                              </w:r>
                              <w:r>
                                <w:rPr>
                                  <w:vertAlign w:val="superscript"/>
                                </w:rPr>
                                <w:fldChar w:fldCharType="end"/>
                              </w:r>
                            </w:p>
                            <w:p w14:paraId="4EA5BAEF" w14:textId="77777777" w:rsidR="00795166" w:rsidRDefault="00795166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EA5BAF0" w14:textId="77777777" w:rsidR="00795166" w:rsidRDefault="00795166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J.P. Morgan can help you assess the current state of digital payments from both a consumer and merchant perspective. </w:t>
                              </w:r>
                            </w:p>
                            <w:p w14:paraId="4EA5BAF1" w14:textId="77777777" w:rsidR="00795166" w:rsidRDefault="00795166">
                              <w:pPr>
                                <w:spacing w:line="252" w:lineRule="auto"/>
                              </w:pPr>
                            </w:p>
                            <w:p w14:paraId="4EA5BAF2" w14:textId="77777777" w:rsidR="00795166" w:rsidRDefault="00795166">
                              <w:pPr>
                                <w:spacing w:line="252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We’d like to discuss your unique situation and add value to your planning.</w:t>
                              </w:r>
                            </w:p>
                            <w:p w14:paraId="4EA5BAF3" w14:textId="77777777" w:rsidR="00795166" w:rsidRDefault="00795166">
                              <w:pPr>
                                <w:spacing w:line="252" w:lineRule="auto"/>
                              </w:pPr>
                            </w:p>
                            <w:p w14:paraId="4EA5BAF4" w14:textId="77777777" w:rsidR="00795166" w:rsidRDefault="00795166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To tee up the conversation, please review our commissioned Forrester Consulting study highlighting the intersection of payments and commerce in a digital world, </w:t>
                              </w:r>
                              <w:hyperlink r:id="rId19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44546A"/>
                                    <w:sz w:val="20"/>
                                    <w:szCs w:val="20"/>
                                  </w:rPr>
                                  <w:t>here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EA5BAF5" w14:textId="77777777" w:rsidR="00795166" w:rsidRDefault="00795166">
                              <w:pPr>
                                <w:spacing w:line="252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EA5BAF6" w14:textId="77777777" w:rsidR="00795166" w:rsidRDefault="00795166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To schedule a meeting with us, please </w:t>
                              </w:r>
                              <w:hyperlink r:id="rId20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click here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EA5BAF7" w14:textId="77777777" w:rsidR="00795166" w:rsidRDefault="00795166">
                              <w:pPr>
                                <w:spacing w:line="252" w:lineRule="auto"/>
                              </w:pPr>
                            </w:p>
                            <w:p w14:paraId="4EA5BAF8" w14:textId="77777777" w:rsidR="00795166" w:rsidRDefault="00795166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We look forward to seeing you there! </w:t>
                              </w:r>
                            </w:p>
                            <w:p w14:paraId="4EA5BAF9" w14:textId="77777777" w:rsidR="00795166" w:rsidRDefault="00795166">
                              <w:pPr>
                                <w:spacing w:line="252" w:lineRule="auto"/>
                                <w:rPr>
                                  <w:color w:val="1F497D"/>
                                </w:rPr>
                              </w:pPr>
                            </w:p>
                            <w:p w14:paraId="4E7122DC" w14:textId="77777777" w:rsidR="00F314ED" w:rsidRDefault="00F314ED">
                              <w:pPr>
                                <w:spacing w:line="252" w:lineRule="auto"/>
                                <w:rPr>
                                  <w:color w:val="1F497D"/>
                                </w:rPr>
                              </w:pPr>
                            </w:p>
                            <w:p w14:paraId="178DC417" w14:textId="69CBE731" w:rsidR="001A511D" w:rsidRPr="00F314ED" w:rsidRDefault="00795166" w:rsidP="00F314ED">
                              <w:pPr>
                                <w:pStyle w:val="EndnoteTex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commentRangeStart w:id="3"/>
                              <w:r w:rsidRPr="00F314ED">
                                <w:rPr>
                                  <w:rStyle w:val="EndnoteReference"/>
                                  <w:rFonts w:ascii="Arial" w:hAnsi="Arial" w:cs="Arial"/>
                                  <w:sz w:val="16"/>
                                  <w:szCs w:val="16"/>
                                </w:rPr>
                                <w:lastRenderedPageBreak/>
                                <w:t>[</w:t>
                              </w:r>
                              <w:proofErr w:type="spellStart"/>
                              <w:r w:rsidRPr="00F314ED">
                                <w:rPr>
                                  <w:rStyle w:val="EndnoteReference"/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F314ED">
                                <w:rPr>
                                  <w:rStyle w:val="EndnoteReference"/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]</w:t>
                              </w:r>
                              <w:r w:rsidRPr="00F314ED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The Intersection of Payments and Commerce in a Digital Word, Forester Research Study Commissioned By JPMorgan Chase, February 2017</w:t>
                              </w:r>
                              <w:commentRangeEnd w:id="3"/>
                              <w:r w:rsidR="001A511D" w:rsidRPr="00F314ED">
                                <w:rPr>
                                  <w:rStyle w:val="CommentReference"/>
                                  <w:rFonts w:ascii="Arial" w:hAnsi="Arial" w:cs="Arial"/>
                                </w:rPr>
                                <w:commentReference w:id="3"/>
                              </w:r>
                            </w:p>
                            <w:p w14:paraId="27D8104F" w14:textId="77777777" w:rsidR="001A511D" w:rsidRPr="00F314ED" w:rsidRDefault="001A511D" w:rsidP="001A511D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commentRangeStart w:id="4"/>
                              <w:r w:rsidRPr="00F314E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Businesses are required to complete an application and agree to terms and conditions at the time of enrollment. All businesses are subject to credit approval.  Merchant services are provided by </w:t>
                              </w:r>
                              <w:proofErr w:type="spellStart"/>
                              <w:r w:rsidRPr="00F314E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Paymentech</w:t>
                              </w:r>
                              <w:proofErr w:type="spellEnd"/>
                              <w:r w:rsidRPr="00F314E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, LLC (“J.P. Morgan”), a subsidiary of JPMorgan Chase Bank, N.A. </w:t>
                              </w:r>
                            </w:p>
                            <w:p w14:paraId="26F660B2" w14:textId="77777777" w:rsidR="001A511D" w:rsidRPr="00F314ED" w:rsidRDefault="001A511D" w:rsidP="001A511D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 w:rsidRPr="00F314E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©2017 </w:t>
                              </w:r>
                              <w:proofErr w:type="spellStart"/>
                              <w:r w:rsidRPr="00F314E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Paymentech</w:t>
                              </w:r>
                              <w:proofErr w:type="spellEnd"/>
                              <w:r w:rsidRPr="00F314ED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 xml:space="preserve">, LLC. All rights reserved. </w:t>
                              </w:r>
                              <w:commentRangeEnd w:id="4"/>
                              <w:r w:rsidRPr="00F314ED">
                                <w:rPr>
                                  <w:rStyle w:val="CommentReference"/>
                                  <w:rFonts w:ascii="Arial" w:hAnsi="Arial" w:cs="Arial"/>
                                </w:rPr>
                                <w:commentReference w:id="4"/>
                              </w:r>
                            </w:p>
                            <w:p w14:paraId="4EA5BAFB" w14:textId="0C3351DC" w:rsidR="001A511D" w:rsidRDefault="001A511D" w:rsidP="001A511D">
                              <w:pPr>
                                <w:spacing w:line="252" w:lineRule="auto"/>
                              </w:pPr>
                            </w:p>
                          </w:tc>
                          <w:tc>
                            <w:tcPr>
                              <w:tcW w:w="750" w:type="dxa"/>
                              <w:vAlign w:val="center"/>
                              <w:hideMark/>
                            </w:tcPr>
                            <w:p w14:paraId="4EA5BAFC" w14:textId="77777777" w:rsidR="00795166" w:rsidRDefault="00795166"/>
                          </w:tc>
                        </w:tr>
                      </w:tbl>
                      <w:p w14:paraId="4EA5BAFE" w14:textId="77777777" w:rsidR="00795166" w:rsidRDefault="0079516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EA5BB00" w14:textId="77777777" w:rsidR="00795166" w:rsidRDefault="00795166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95166" w14:paraId="4EA5BB0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EA5BB02" w14:textId="77777777" w:rsidR="00795166" w:rsidRDefault="00795166">
                  <w:pPr>
                    <w:spacing w:line="252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lastRenderedPageBreak/>
                    <w:t> </w:t>
                  </w:r>
                </w:p>
              </w:tc>
            </w:tr>
          </w:tbl>
          <w:p w14:paraId="4EA5BB04" w14:textId="77777777" w:rsidR="00795166" w:rsidRDefault="007951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  <w:hideMark/>
          </w:tcPr>
          <w:p w14:paraId="4EA5BB05" w14:textId="77777777" w:rsidR="00795166" w:rsidRDefault="00795166">
            <w:pPr>
              <w:spacing w:line="252" w:lineRule="auto"/>
            </w:pPr>
            <w:r>
              <w:lastRenderedPageBreak/>
              <w:t> </w:t>
            </w:r>
          </w:p>
        </w:tc>
        <w:bookmarkStart w:id="5" w:name="_GoBack"/>
        <w:bookmarkEnd w:id="5"/>
      </w:tr>
    </w:tbl>
    <w:p w14:paraId="4EA5BB16" w14:textId="77777777" w:rsidR="009C16AC" w:rsidRDefault="00F314ED"/>
    <w:sectPr w:rsidR="009C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aw, Lisa W" w:date="2017-03-31T13:48:00Z" w:initials="LLW">
    <w:p w14:paraId="5CB2147A" w14:textId="19387A78" w:rsidR="00F314ED" w:rsidRDefault="00F314ED">
      <w:pPr>
        <w:pStyle w:val="CommentText"/>
      </w:pPr>
      <w:r>
        <w:rPr>
          <w:rStyle w:val="CommentReference"/>
        </w:rPr>
        <w:annotationRef/>
      </w:r>
      <w:r>
        <w:t>Can you please include the TRANSACT logo on the right—opposite of J.P. Morgan</w:t>
      </w:r>
    </w:p>
  </w:comment>
  <w:comment w:id="1" w:author="Law, Lisa W" w:date="2017-03-31T13:36:00Z" w:initials="LLW">
    <w:p w14:paraId="0A2CC981" w14:textId="77777777" w:rsidR="001A511D" w:rsidRDefault="001A511D">
      <w:pPr>
        <w:pStyle w:val="CommentText"/>
      </w:pPr>
      <w:r>
        <w:rPr>
          <w:rStyle w:val="CommentReference"/>
        </w:rPr>
        <w:annotationRef/>
      </w:r>
      <w:r>
        <w:t xml:space="preserve">Change this to read: </w:t>
      </w:r>
    </w:p>
    <w:p w14:paraId="3AAC9D97" w14:textId="77777777" w:rsidR="001A511D" w:rsidRDefault="001A511D">
      <w:pPr>
        <w:pStyle w:val="CommentText"/>
      </w:pPr>
    </w:p>
    <w:p w14:paraId="15CA01E5" w14:textId="77777777" w:rsidR="001A511D" w:rsidRDefault="001A511D" w:rsidP="001A511D">
      <w:pPr>
        <w:rPr>
          <w:rFonts w:asciiTheme="minorHAnsi" w:hAnsiTheme="minorHAnsi" w:cstheme="minorBidi"/>
        </w:rPr>
      </w:pPr>
      <w:r>
        <w:t>ETA Invites you to Connect with J.P. Morgan at TRANSACT</w:t>
      </w:r>
    </w:p>
    <w:p w14:paraId="061F04F6" w14:textId="733B07F1" w:rsidR="001A511D" w:rsidRDefault="001A511D">
      <w:pPr>
        <w:pStyle w:val="CommentText"/>
      </w:pPr>
    </w:p>
  </w:comment>
  <w:comment w:id="3" w:author="Law, Lisa W" w:date="2017-03-31T13:37:00Z" w:initials="LLW">
    <w:p w14:paraId="6205CB14" w14:textId="77777777" w:rsidR="001A511D" w:rsidRDefault="001A511D">
      <w:pPr>
        <w:pStyle w:val="CommentText"/>
      </w:pPr>
      <w:r>
        <w:rPr>
          <w:rStyle w:val="CommentReference"/>
        </w:rPr>
        <w:annotationRef/>
      </w:r>
      <w:r>
        <w:t>Make sure this footnote is included</w:t>
      </w:r>
    </w:p>
    <w:p w14:paraId="3D390F01" w14:textId="134CAD76" w:rsidR="001A511D" w:rsidRDefault="001A511D">
      <w:pPr>
        <w:pStyle w:val="CommentText"/>
      </w:pPr>
    </w:p>
  </w:comment>
  <w:comment w:id="4" w:author="Law, Lisa W" w:date="2017-03-31T13:39:00Z" w:initials="LLW">
    <w:p w14:paraId="590D9C3E" w14:textId="07543678" w:rsidR="001A511D" w:rsidRDefault="001A511D">
      <w:pPr>
        <w:pStyle w:val="CommentText"/>
      </w:pPr>
      <w:r>
        <w:rPr>
          <w:rStyle w:val="CommentReference"/>
        </w:rPr>
        <w:annotationRef/>
      </w:r>
      <w:r>
        <w:t xml:space="preserve">Please add this disclosure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B2147A" w15:done="0"/>
  <w15:commentEx w15:paraId="061F04F6" w15:done="0"/>
  <w15:commentEx w15:paraId="3D390F01" w15:done="0"/>
  <w15:commentEx w15:paraId="590D9C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4746E"/>
    <w:multiLevelType w:val="multilevel"/>
    <w:tmpl w:val="04D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w, Lisa W">
    <w15:presenceInfo w15:providerId="None" w15:userId="Law, Lisa 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66"/>
    <w:rsid w:val="001731EF"/>
    <w:rsid w:val="001A511D"/>
    <w:rsid w:val="0066389D"/>
    <w:rsid w:val="00795166"/>
    <w:rsid w:val="00F314ED"/>
    <w:rsid w:val="00F4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BACB"/>
  <w15:chartTrackingRefBased/>
  <w15:docId w15:val="{E86F952E-B235-4846-8387-F16169BF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6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166"/>
    <w:rPr>
      <w:color w:val="0563C1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95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95166"/>
    <w:rPr>
      <w:rFonts w:ascii="Calibri" w:hAnsi="Calibri" w:cs="Calibri"/>
      <w:sz w:val="20"/>
      <w:szCs w:val="20"/>
    </w:rPr>
  </w:style>
  <w:style w:type="paragraph" w:customStyle="1" w:styleId="designertable1">
    <w:name w:val="designertable1"/>
    <w:basedOn w:val="Normal"/>
    <w:rsid w:val="00795166"/>
    <w:pPr>
      <w:spacing w:before="30" w:after="30"/>
      <w:ind w:left="30" w:right="30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79516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A5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1D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11D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1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1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A511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cid:image004.png@01D2A3F6.A312180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cid:image001.jpg@01D2A3F6.A3121800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cid:image003.png@01D2A3F6.A3121800" TargetMode="External"/><Relationship Id="rId20" Type="http://schemas.openxmlformats.org/officeDocument/2006/relationships/hyperlink" Target="mailto:lisa.w.law@jpmorgan.com?subject=ETA%20TRANSACT%20-%20I'd%20like%20to%20schedule%20a%20meet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jpmorgan.com/jpmpdf/1320725121878.pdf" TargetMode="Externa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cid:image002.png@01D2A3F6.A3121800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5FA875-D75F-4824-BA47-409182F18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BAE67-C8C3-420A-993B-0617CDB8A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D2FCD-4E70-49A3-B720-C12854F19628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Amy C</dc:creator>
  <cp:keywords/>
  <dc:description/>
  <cp:lastModifiedBy>Law, Lisa W</cp:lastModifiedBy>
  <cp:revision>3</cp:revision>
  <dcterms:created xsi:type="dcterms:W3CDTF">2017-03-31T17:41:00Z</dcterms:created>
  <dcterms:modified xsi:type="dcterms:W3CDTF">2017-03-31T17:48:00Z</dcterms:modified>
</cp:coreProperties>
</file>