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Quarterly Review</w:t>
      </w:r>
    </w:p>
    <w:p>
      <w:r>
        <w:t xml:space="preserve">The team’s “Q3 numbers” came in ahead of plan — the first time since 2019.</w:t>
      </w:r>
    </w:p>
    <w:p>
      <w:r>
        <w:drawing>
          <wp:inline distT="0" distB="0" distL="0" distR="0">
            <wp:extent cx="952500" cy="952500"/>
            <wp:docPr id="1" name="chart.png" descr="Revenue by quarter, 2019 to 2024"/>
            <a:graphic>
              <a:graphicData uri="http://schemas.openxmlformats.org/drawingml/2006/picture">
                <pic:pic>
                  <pic:nvPicPr>
                    <pic:cNvPr id="1" name="chart.png" descr="Revenue by quarter, 2019 to 20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Highlights</w:t>
      </w:r>
    </w:p>
    <w:p>
      <w:pPr>
        <w:numPr>
          <w:ilvl w:val="0"/>
          <w:numId w:val="1"/>
        </w:numPr>
      </w:pPr>
      <w:r>
        <w:t xml:space="preserve">Revenue up 12% year on year</w:t>
      </w:r>
    </w:p>
    <w:p>
      <w:pPr>
        <w:numPr>
          <w:ilvl w:val="0"/>
          <w:numId w:val="1"/>
        </w:numPr>
      </w:pPr>
      <w:r>
        <w:t xml:space="preserve">Churn down to 1.8%</w:t>
      </w:r>
    </w:p>
    <w:p>
      <w:pPr>
        <w:numPr>
          <w:ilvl w:val="0"/>
          <w:numId w:val="1"/>
        </w:numPr>
      </w:pPr>
      <w:r>
        <w:t xml:space="preserve">Two enterprise logos signed — both multi‑year</w:t>
      </w:r>
    </w:p>
    <w:p>
      <w:pPr>
        <w:numPr>
          <w:ilvl w:val="1"/>
          <w:numId w:val="1"/>
        </w:numPr>
      </w:pPr>
      <w:r>
        <w:t xml:space="preserve">Support backlog cleared</w:t>
      </w:r>
    </w:p>
    <w:p>
      <w:r>
        <w:drawing>
          <wp:inline distT="0" distB="0" distL="0" distR="0">
            <wp:extent cx="952500" cy="9525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Numbers</w:t>
      </w:r>
    </w:p>
    <w:tbl>
      <w:tr>
        <w:tc>
          <w:tcPr/>
          <w:p>
            <w:r>
              <w:t xml:space="preserve">Quarter</w:t>
            </w:r>
          </w:p>
        </w:tc>
        <w:tc>
          <w:tcPr/>
          <w:p>
            <w:r>
              <w:t xml:space="preserve">Revenue</w:t>
            </w:r>
          </w:p>
        </w:tc>
        <w:tc>
          <w:tcPr/>
          <w:p>
            <w:r>
              <w:t xml:space="preserve">Notes</w:t>
            </w:r>
          </w:p>
        </w:tc>
      </w:tr>
      <w:tr>
        <w:tc>
          <w:tcPr/>
          <w:p>
            <w:r>
              <w:t xml:space="preserve">Q1</w:t>
            </w:r>
          </w:p>
        </w:tc>
        <w:tc>
          <w:tcPr/>
          <w:p>
            <w:r>
              <w:t xml:space="preserve">1.2M</w:t>
            </w:r>
          </w:p>
        </w:tc>
        <w:tc>
          <w:tcPr/>
          <w:p>
            <w:r>
              <w:t xml:space="preserve">flat</w:t>
            </w:r>
          </w:p>
        </w:tc>
      </w:tr>
      <w:tr>
        <w:tc>
          <w:tcPr/>
          <w:p>
            <w:r>
              <w:t xml:space="preserve">Q2</w:t>
            </w:r>
          </w:p>
        </w:tc>
        <w:tc>
          <w:tcPr/>
          <w:p>
            <w:r>
              <w:t xml:space="preserve">1.4M</w:t>
            </w:r>
          </w:p>
        </w:tc>
        <w:tc>
          <w:tcPr/>
          <w:p>
            <w:r>
              <w:t xml:space="preserve">the “big deal” landed</w:t>
            </w:r>
          </w:p>
        </w:tc>
      </w:tr>
      <w:tr>
        <w:tc>
          <w:tcPr/>
          <w:p>
            <w:r>
              <w:t xml:space="preserve">Q3</w:t>
            </w:r>
          </w:p>
        </w:tc>
        <w:tc>
          <w:tcPr/>
          <w:p>
            <w:r>
              <w:t xml:space="preserve">1.9M</w:t>
            </w:r>
          </w:p>
        </w:tc>
        <w:tc>
          <w:tcPr/>
          <w:p>
            <w:r>
              <w:t xml:space="preserve">ahead of plan — see above</w:t>
            </w:r>
          </w:p>
        </w:tc>
      </w:tr>
    </w:tbl>
    <w:p>
      <w:r>
        <w:rPr>
          <w:b/>
        </w:rPr>
        <w:t xml:space="preserve">Signed off by the board on 2024‑10‑01.</w:t>
      </w:r>
    </w:p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lvl w:ilvl="0">
      <w:numFmt w:val="bullet"/>
      <w:lvlText w:val="•"/>
    </w:lvl>
    <w:lvl w:ilvl="1">
      <w:numFmt w:val="bullet"/>
      <w:lvlText w:val="o"/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Normal">
    <w:name w:val="Normal"/>
  </w:style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