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Refit Status — USS Enterprise</w:t>
      </w:r>
    </w:p>
    <w:p>
      <w:r>
        <w:rPr>
          <w:i/>
        </w:rPr>
        <w:t xml:space="preserve">Utopia Planitia Fleet Yards … Stardate 47988.1</w:t>
      </w:r>
    </w:p>
    <w:p>
      <w:pPr>
        <w:pStyle w:val="Quote"/>
      </w:pPr>
      <w:r>
        <w:t xml:space="preserve">This document is intended solely for the addressee and may contain information proprietary to the Utopia Planitia Fleet Yards. If you are not the intended recipient, notify the sender and delete all copies.</w:t>
      </w:r>
    </w:p>
    <w:p>
      <w:r>
        <w:t xml:space="preserve">	Tab-indented line, straight from a pasted mail client.   </w:t>
      </w:r>
    </w:p>
    <w:p>
      <w:r>
        <w:t xml:space="preserve">        Eight leading spaces, and trailing ones too.        </w:t>
      </w:r>
    </w:p>
    <w:p>
      <w:r>
        <w:t xml:space="preserve"/>
      </w:r>
    </w:p>
    <w:p>
      <w:r>
        <w:t xml:space="preserve"/>
      </w:r>
    </w:p>
    <w:p>
      <w:r>
        <w:t xml:space="preserve"/>
      </w:r>
    </w:p>
    <w:p>
      <w:r>
        <w:t xml:space="preserve"/>
      </w:r>
    </w:p>
    <w:p>
      <w:r>
        <w:t xml:space="preserve"/>
      </w:r>
    </w:p>
    <w:p>
      <w:r>
        <w:t xml:space="preserve"/>
      </w:r>
    </w:p>
    <w:p>
      <w:r>
        <w:t xml:space="preserve">Six empty paragraphs precede this line.</w:t>
      </w:r>
    </w:p>
    <w:p>
      <w:pPr>
        <w:pStyle w:val="Heading2"/>
      </w:pPr>
      <w:r>
        <w:t xml:space="preserve">Summary</w:t>
      </w:r>
    </w:p>
    <w:p>
      <w:r>
        <w:t xml:space="preserve">The Utopia Planitia yards report that the plasma inter-</w:t>
      </w:r>
    </w:p>
    <w:p>
      <w:r>
        <w:t xml:space="preserve">mix chamber tolerances have drifted by four microns since</w:t>
      </w:r>
    </w:p>
    <w:p>
      <w:r>
        <w:t xml:space="preserve">the last refit, which the diagnostic subroutine flagged as</w:t>
      </w:r>
    </w:p>
    <w:p>
      <w:r>
        <w:t xml:space="preserve">“within nominal” — a classiﬁcation the Daystrom Insti-</w:t>
      </w:r>
    </w:p>
    <w:p>
      <w:r>
        <w:t xml:space="preserve">tute disputes. Warp ﬂux stability held at 99.7 % across</w:t>
      </w:r>
    </w:p>
    <w:p>
      <w:r>
        <w:t xml:space="preserve">all eighteen test cycles… the remaining variance sits</w:t>
      </w:r>
    </w:p>
    <w:p>
      <w:r>
        <w:t xml:space="preserve">in the star­board nacelle, which Lt. Barclay</w:t>
      </w:r>
    </w:p>
    <w:p>
      <w:r>
        <w:t xml:space="preserve">rebuilt in 2367 and which has never matched its twin.</w:t>
      </w:r>
    </w:p>
    <w:p>
      <w:r>
        <w:t xml:space="preserve">Captain Picard’s standing order – </w:t>
      </w:r>
      <w:r>
        <w:rPr>
          <w:i/>
        </w:rPr>
        <w:t xml:space="preserve">‘no shortcuts on the containment ﬁeld’</w:t>
      </w:r>
      <w:r>
        <w:t xml:space="preserve"> – still applies. </w:t>
      </w:r>
      <w:r>
        <w:rPr>
          <w:b/>
        </w:rPr>
        <w:t xml:space="preserve">Engineering signed off</w:t>
      </w:r>
      <w:r>
        <w:t xml:space="preserve"> at 0400​ hours. 🖖 🚀</w:t>
      </w:r>
    </w:p>
    <w:p>
      <w:r>
        <w:t xml:space="preserve">Full detail lives in </w:t>
      </w:r>
      <w:hyperlink r:id="rId20">
        <w:r>
          <w:rPr>
            <w:rStyle w:val="Hyperlink"/>
          </w:rPr>
          <w:t xml:space="preserve">the refit dossier</w:t>
        </w:r>
      </w:hyperlink>
      <w:r>
        <w:t xml:space="preserve">, mirrored at </w:t>
      </w:r>
      <w:hyperlink r:id="rId21">
        <w:r>
          <w:rPr>
            <w:rStyle w:val="Hyperlink"/>
          </w:rPr>
          <w:t xml:space="preserve">https://daystrom.example/reports/warp-core</w:t>
        </w:r>
      </w:hyperlink>
      <w:r>
        <w:t xml:space="preserve">.</w:t>
      </w:r>
    </w:p>
    <w:p>
      <w:pPr>
        <w:pStyle w:val="Heading2"/>
      </w:pPr>
      <w:r>
        <w:t xml:space="preserve">Findings</w:t>
      </w:r>
    </w:p>
    <w:p>
      <w:pPr>
        <w:pStyle w:val="Heading3"/>
      </w:pPr>
      <w:r>
        <w:t xml:space="preserve">Propulsion</w:t>
      </w:r>
    </w:p>
    <w:p>
      <w:pPr>
        <w:pStyle w:val="Heading4"/>
      </w:pPr>
      <w:r>
        <w:t xml:space="preserve">Warp field geometry</w:t>
      </w:r>
    </w:p>
    <w:p>
      <w:pPr>
        <w:pStyle w:val="ListParagraph"/>
        <w:numPr>
          <w:ilvl w:val="0"/>
          <w:numId w:val="1"/>
        </w:numPr>
      </w:pPr>
      <w:r>
        <w:t xml:space="preserve">Warp core output up 12 % year on year</w:t>
      </w:r>
    </w:p>
    <w:p>
      <w:pPr>
        <w:pStyle w:val="ListParagraph"/>
        <w:numPr>
          <w:ilvl w:val="0"/>
          <w:numId w:val="1"/>
        </w:numPr>
      </w:pPr>
      <w:r>
        <w:t xml:space="preserve">Dilithium articulation within tolerance</w:t>
      </w:r>
    </w:p>
    <w:p>
      <w:pPr>
        <w:pStyle w:val="ListParagraph"/>
        <w:numPr>
          <w:ilvl w:val="1"/>
          <w:numId w:val="1"/>
        </w:numPr>
      </w:pPr>
      <w:r>
        <w:t xml:space="preserve">Nacelle 2 plasma injectors replaced</w:t>
      </w:r>
    </w:p>
    <w:p>
      <w:pPr>
        <w:pStyle w:val="ListParagraph"/>
        <w:numPr>
          <w:ilvl w:val="2"/>
          <w:numId w:val="1"/>
        </w:numPr>
      </w:pPr>
      <w:r>
        <w:t xml:space="preserve">Injector ‑ serial UP‑4471</w:t>
      </w:r>
    </w:p>
    <w:p>
      <w:pPr>
        <w:pStyle w:val="ListParagraph"/>
        <w:numPr>
          <w:ilvl w:val="2"/>
          <w:numId w:val="1"/>
        </w:numPr>
      </w:pPr>
      <w:r>
        <w:t xml:space="preserve">Injector ‑ serial UP‑4472</w:t>
      </w:r>
    </w:p>
    <w:p>
      <w:pPr>
        <w:pStyle w:val="ListParagraph"/>
        <w:numPr>
          <w:ilvl w:val="0"/>
          <w:numId w:val="1"/>
        </w:numPr>
      </w:pPr>
      <w:r>
        <w:t xml:space="preserve">Containment field holding at 99.7 %</w:t>
      </w:r>
    </w:p>
    <w:p>
      <w:pPr>
        <w:pStyle w:val="Heading4"/>
      </w:pPr>
      <w:r>
        <w:t xml:space="preserve">Sequence</w:t>
      </w:r>
    </w:p>
    <w:p>
      <w:pPr>
        <w:pStyle w:val="ListParagraph"/>
        <w:numPr>
          <w:ilvl w:val="0"/>
          <w:numId w:val="2"/>
        </w:numPr>
      </w:pPr>
      <w:r>
        <w:t xml:space="preserve">Take the core offline and vent the intermix chamber.</w:t>
      </w:r>
    </w:p>
    <w:p>
      <w:pPr>
        <w:pStyle w:val="ListParagraph"/>
        <w:numPr>
          <w:ilvl w:val="0"/>
          <w:numId w:val="2"/>
        </w:numPr>
      </w:pPr>
      <w:r>
        <w:t xml:space="preserve">Isolate the EPS taps on decks 11 through 14.</w:t>
      </w:r>
    </w:p>
    <w:p>
      <w:pPr>
        <w:pStyle w:val="ListParagraph"/>
        <w:numPr>
          <w:ilvl w:val="1"/>
          <w:numId w:val="2"/>
        </w:numPr>
      </w:pPr>
      <w:r>
        <w:t xml:space="preserve">Confirm with Engineering before the purge.</w:t>
      </w:r>
    </w:p>
    <w:p>
      <w:pPr>
        <w:pStyle w:val="ListParagraph"/>
        <w:numPr>
          <w:ilvl w:val="1"/>
          <w:numId w:val="2"/>
        </w:numPr>
      </w:pPr>
      <w:r>
        <w:t xml:space="preserve">Log the stardate in the yards ledger.</w:t>
      </w:r>
    </w:p>
    <w:p>
      <w:pPr>
        <w:pStyle w:val="ListParagraph"/>
        <w:numPr>
          <w:ilvl w:val="0"/>
          <w:numId w:val="2"/>
        </w:numPr>
      </w:pPr>
      <w:r>
        <w:t xml:space="preserve">Bring the core back to 20 % and hold.</w:t>
      </w:r>
    </w:p>
    <w:p>
      <w:pPr>
        <w:pStyle w:val="Heading3"/>
      </w:pPr>
      <w:r>
        <w:t xml:space="preserve">Related links</w:t>
      </w:r>
    </w:p>
    <w:p>
      <w:pPr>
        <w:pStyle w:val="ListParagraph"/>
        <w:numPr>
          <w:ilvl w:val="0"/>
          <w:numId w:val="1"/>
        </w:numPr>
      </w:pPr>
      <w:r>
        <w:t xml:space="preserve">Refit status: USS Enterprise NCC‑1701‑C</w:t>
      </w:r>
    </w:p>
    <w:p>
      <w:pPr>
        <w:pStyle w:val="ListParagraph"/>
        <w:numPr>
          <w:ilvl w:val="0"/>
          <w:numId w:val="1"/>
        </w:numPr>
      </w:pPr>
      <w:r>
        <w:t xml:space="preserve">Refit status: USS Defiant</w:t>
      </w:r>
    </w:p>
    <w:p>
      <w:pPr>
        <w:pStyle w:val="ListParagraph"/>
        <w:numPr>
          <w:ilvl w:val="0"/>
          <w:numId w:val="1"/>
        </w:numPr>
      </w:pPr>
      <w:r>
        <w:t xml:space="preserve">About Utopia Planitia</w:t>
      </w:r>
    </w:p>
    <w:p>
      <w:pPr>
        <w:pStyle w:val="ListParagraph"/>
        <w:numPr>
          <w:ilvl w:val="0"/>
          <w:numId w:val="1"/>
        </w:numPr>
      </w:pPr>
      <w:r>
        <w:t xml:space="preserve">Subscribe to the yards newsletter</w:t>
      </w:r>
    </w:p>
    <w:p>
      <w:pPr>
        <w:pStyle w:val="Heading2"/>
      </w:pPr>
      <w:r>
        <w:t xml:space="preserve">Imagery</w:t>
      </w:r>
    </w:p>
    <w:p>
      <w:r>
        <w:drawing>
          <wp:inline distT="0" distB="0" distL="0" distR="0">
            <wp:extent cx="1905000" cy="1905000"/>
            <wp:docPr id="1" name="chart.png" descr="Warp core output by quarter, 2364 to 2370, rising to 1.9 teradynes"/>
            <a:graphic>
              <a:graphicData uri="http://schemas.openxmlformats.org/drawingml/2006/picture">
                <pic:pic>
                  <pic:nvPicPr>
                    <pic:cNvPr id="1" name="chart.png" descr="Warp core output by quarter, 2364 to 2370, rising to 1.9 teradynes"/>
                    <pic:cNvPicPr/>
                  </pic:nvPicPr>
                  <pic:blipFill>
                    <a:blip r:embed="rId10"/>
                    <a:stretch>
                      <a:fillRect/>
                    </a:stretch>
                  </pic:blipFill>
                  <pic:spPr>
                    <a:xfrm>
                      <a:off x="0" y="0"/>
                      <a:ext cx="1905000" cy="1905000"/>
                    </a:xfrm>
                    <a:prstGeom prst="rect">
                      <a:avLst/>
                    </a:prstGeom>
                  </pic:spPr>
                </pic:pic>
              </a:graphicData>
            </a:graphic>
          </wp:inline>
        </w:drawing>
      </w:r>
    </w:p>
    <w:p>
      <w:r>
        <w:rPr>
          <w:i/>
        </w:rPr>
        <w:t xml:space="preserve">Figure 1 — warp core output trend</w:t>
      </w:r>
    </w:p>
    <w:p>
      <w:r>
        <w:drawing>
          <wp:inline distT="0" distB="0" distL="0" distR="0">
            <wp:extent cx="1905000" cy="1905000"/>
            <wp:docPr id="2" name="image1.png" descr="image1.png"/>
            <a:graphic>
              <a:graphicData uri="http://schemas.openxmlformats.org/drawingml/2006/picture">
                <pic:pic>
                  <pic:nvPicPr>
                    <pic:cNvPr id="2" name="image1.png" descr="image1.png"/>
                    <pic:cNvPicPr/>
                  </pic:nvPicPr>
                  <pic:blipFill>
                    <a:blip r:embed="rId11"/>
                    <a:stretch>
                      <a:fillRect/>
                    </a:stretch>
                  </pic:blipFill>
                  <pic:spPr>
                    <a:xfrm>
                      <a:off x="0" y="0"/>
                      <a:ext cx="1905000" cy="1905000"/>
                    </a:xfrm>
                    <a:prstGeom prst="rect">
                      <a:avLst/>
                    </a:prstGeom>
                  </pic:spPr>
                </pic:pic>
              </a:graphicData>
            </a:graphic>
          </wp:inline>
        </w:drawing>
      </w:r>
    </w:p>
    <w:p>
      <w:r>
        <w:drawing>
          <wp:inline distT="0" distB="0" distL="0" distR="0">
            <wp:extent cx="1905000" cy="1905000"/>
            <wp:docPr id="3" name="Picture 3"/>
            <a:graphic>
              <a:graphicData uri="http://schemas.openxmlformats.org/drawingml/2006/picture">
                <pic:pic>
                  <pic:nvPicPr>
                    <pic:cNvPr id="3" name="Picture 3"/>
                    <pic:cNvPicPr/>
                  </pic:nvPicPr>
                  <pic:blipFill>
                    <a:blip r:embed="rId12"/>
                    <a:stretch>
                      <a:fillRect/>
                    </a:stretch>
                  </pic:blipFill>
                  <pic:spPr>
                    <a:xfrm>
                      <a:off x="0" y="0"/>
                      <a:ext cx="1905000" cy="1905000"/>
                    </a:xfrm>
                    <a:prstGeom prst="rect">
                      <a:avLst/>
                    </a:prstGeom>
                  </pic:spPr>
                </pic:pic>
              </a:graphicData>
            </a:graphic>
          </wp:inline>
        </w:drawing>
      </w:r>
    </w:p>
    <w:p>
      <w:r>
        <w:drawing>
          <wp:inline distT="0" distB="0" distL="0" distR="0">
            <wp:extent cx="1905000" cy="1905000"/>
            <wp:docPr id="4" name="avatar" descr="avatar"/>
            <a:graphic>
              <a:graphicData uri="http://schemas.openxmlformats.org/drawingml/2006/picture">
                <pic:pic>
                  <pic:nvPicPr>
                    <pic:cNvPr id="4" name="avatar" descr="avatar"/>
                    <pic:cNvPicPr/>
                  </pic:nvPicPr>
                  <pic:blipFill>
                    <a:blip r:embed="rId13"/>
                    <a:stretch>
                      <a:fillRect/>
                    </a:stretch>
                  </pic:blipFill>
                  <pic:spPr>
                    <a:xfrm>
                      <a:off x="0" y="0"/>
                      <a:ext cx="1905000" cy="1905000"/>
                    </a:xfrm>
                    <a:prstGeom prst="rect">
                      <a:avLst/>
                    </a:prstGeom>
                  </pic:spPr>
                </pic:pic>
              </a:graphicData>
            </a:graphic>
          </wp:inline>
        </w:drawing>
      </w:r>
    </w:p>
    <w:p>
      <w:pPr>
        <w:pStyle w:val="Heading2"/>
      </w:pPr>
      <w:r>
        <w:t xml:space="preserve">Diagnostics</w:t>
      </w:r>
    </w:p>
    <w:p>
      <w:pPr>
        <w:pStyle w:val="Heading3"/>
      </w:pPr>
      <w:r>
        <w:t xml:space="preserve">Clean grid</w:t>
      </w:r>
    </w:p>
    <w:tbl>
      <w:tblPr>
        <w:tblStyle w:val="TableGrid"/>
        <w:tblW w:w="0" w:type="auto"/>
      </w:tblPr>
      <w:tblGrid>
        <w:gridCol w:w="2340"/>
        <w:gridCol w:w="2340"/>
        <w:gridCol w:w="2340"/>
        <w:gridCol w:w="2340"/>
      </w:tblGrid>
      <w:tr>
        <w:tc>
          <w:tcPr/>
          <w:p>
            <w:r>
              <w:rPr>
                <w:b/>
              </w:rPr>
              <w:t xml:space="preserve">Subsystem</w:t>
            </w:r>
          </w:p>
        </w:tc>
        <w:tc>
          <w:tcPr/>
          <w:p>
            <w:r>
              <w:rPr>
                <w:b/>
              </w:rPr>
              <w:t xml:space="preserve">Owner</w:t>
            </w:r>
          </w:p>
        </w:tc>
        <w:tc>
          <w:tcPr/>
          <w:p>
            <w:r>
              <w:rPr>
                <w:b/>
              </w:rPr>
              <w:t xml:space="preserve">Status</w:t>
            </w:r>
          </w:p>
        </w:tc>
        <w:tc>
          <w:tcPr/>
          <w:p>
            <w:r>
              <w:rPr>
                <w:b/>
              </w:rPr>
              <w:t xml:space="preserve">Margin</w:t>
            </w:r>
          </w:p>
        </w:tc>
      </w:tr>
      <w:tr>
        <w:tc>
          <w:tcPr/>
          <w:p>
            <w:r>
              <w:t xml:space="preserve">Warp core</w:t>
            </w:r>
          </w:p>
        </w:tc>
        <w:tc>
          <w:tcPr/>
          <w:p>
            <w:r>
              <w:t xml:space="preserve">La Forge</w:t>
            </w:r>
          </w:p>
        </w:tc>
        <w:tc>
          <w:tcPr/>
          <w:p>
            <w:r>
              <w:t xml:space="preserve">Green</w:t>
            </w:r>
          </w:p>
        </w:tc>
        <w:tc>
          <w:tcPr/>
          <w:p>
            <w:r>
              <w:t xml:space="preserve">12 %</w:t>
            </w:r>
          </w:p>
        </w:tc>
      </w:tr>
      <w:tr>
        <w:tc>
          <w:tcPr/>
          <w:p>
            <w:r>
              <w:t xml:space="preserve">Deflector</w:t>
            </w:r>
          </w:p>
        </w:tc>
        <w:tc>
          <w:tcPr/>
          <w:p>
            <w:r>
              <w:t xml:space="preserve">Data</w:t>
            </w:r>
          </w:p>
        </w:tc>
        <w:tc>
          <w:tcPr/>
          <w:p>
            <w:r>
              <w:t xml:space="preserve">Green</w:t>
            </w:r>
          </w:p>
        </w:tc>
        <w:tc>
          <w:tcPr/>
          <w:p>
            <w:r>
              <w:t xml:space="preserve">8 %</w:t>
            </w:r>
          </w:p>
        </w:tc>
      </w:tr>
      <w:tr>
        <w:tc>
          <w:tcPr/>
          <w:p>
            <w:r>
              <w:t xml:space="preserve">Transporters</w:t>
            </w:r>
          </w:p>
        </w:tc>
        <w:tc>
          <w:tcPr/>
          <w:p>
            <w:r>
              <w:t xml:space="preserve">O’Brien</w:t>
            </w:r>
          </w:p>
        </w:tc>
        <w:tc>
          <w:tcPr/>
          <w:p>
            <w:r>
              <w:t xml:space="preserve">Amber</w:t>
            </w:r>
          </w:p>
        </w:tc>
        <w:tc>
          <w:tcPr/>
          <w:p>
            <w:r>
              <w:t xml:space="preserve">2 %</w:t>
            </w:r>
          </w:p>
        </w:tc>
      </w:tr>
      <w:tr>
        <w:tc>
          <w:tcPr/>
          <w:p>
            <w:r>
              <w:t xml:space="preserve">Holodeck 3</w:t>
            </w:r>
          </w:p>
        </w:tc>
        <w:tc>
          <w:tcPr/>
          <w:p>
            <w:r>
              <w:t xml:space="preserve">Barclay</w:t>
            </w:r>
          </w:p>
        </w:tc>
        <w:tc>
          <w:tcPr/>
          <w:p>
            <w:r>
              <w:t xml:space="preserve">Red</w:t>
            </w:r>
          </w:p>
        </w:tc>
        <w:tc>
          <w:tcPr/>
          <w:p>
            <w:r>
              <w:t xml:space="preserve">–4 %</w:t>
            </w:r>
          </w:p>
        </w:tc>
      </w:tr>
    </w:tbl>
    <w:p>
      <w:pPr>
        <w:pStyle w:val="Heading3"/>
      </w:pPr>
      <w:r>
        <w:t xml:space="preserve">Merged cells</w:t>
      </w:r>
    </w:p>
    <w:tbl>
      <w:tblPr>
        <w:tblStyle w:val="TableGrid"/>
        <w:tblW w:w="0" w:type="auto"/>
      </w:tblPr>
      <w:tblGrid>
        <w:gridCol w:w="1872"/>
        <w:gridCol w:w="1872"/>
        <w:gridCol w:w="1872"/>
        <w:gridCol w:w="1872"/>
        <w:gridCol w:w="1872"/>
      </w:tblGrid>
      <w:tr>
        <w:tc>
          <w:tcPr>
            <w:vMerge w:val="restart"/>
          </w:tcPr>
          <w:p>
            <w:r>
              <w:rPr>
                <w:b/>
              </w:rPr>
              <w:t xml:space="preserve">Deck</w:t>
            </w:r>
          </w:p>
        </w:tc>
        <w:tc>
          <w:tcPr>
            <w:gridSpan w:val="2"/>
          </w:tcPr>
          <w:p>
            <w:r>
              <w:rPr>
                <w:b/>
              </w:rPr>
              <w:t xml:space="preserve">Alpha shift</w:t>
            </w:r>
          </w:p>
        </w:tc>
        <w:tc>
          <w:tcPr>
            <w:gridSpan w:val="2"/>
          </w:tcPr>
          <w:p>
            <w:r>
              <w:rPr>
                <w:b/>
              </w:rPr>
              <w:t xml:space="preserve">Beta shift</w:t>
            </w:r>
          </w:p>
        </w:tc>
      </w:tr>
      <w:tr>
        <w:tc>
          <w:tcPr>
            <w:vMerge/>
          </w:tcPr>
          <w:p>
            <w:r>
              <w:t xml:space="preserve"/>
            </w:r>
          </w:p>
        </w:tc>
        <w:tc>
          <w:tcPr/>
          <w:p>
            <w:r>
              <w:rPr>
                <w:b/>
              </w:rPr>
              <w:t xml:space="preserve">Crew</w:t>
            </w:r>
          </w:p>
        </w:tc>
        <w:tc>
          <w:tcPr/>
          <w:p>
            <w:r>
              <w:rPr>
                <w:b/>
              </w:rPr>
              <w:t xml:space="preserve">Load</w:t>
            </w:r>
          </w:p>
        </w:tc>
        <w:tc>
          <w:tcPr/>
          <w:p>
            <w:r>
              <w:rPr>
                <w:b/>
              </w:rPr>
              <w:t xml:space="preserve">Crew</w:t>
            </w:r>
          </w:p>
        </w:tc>
        <w:tc>
          <w:tcPr/>
          <w:p>
            <w:r>
              <w:rPr>
                <w:b/>
              </w:rPr>
              <w:t xml:space="preserve">Load</w:t>
            </w:r>
          </w:p>
        </w:tc>
      </w:tr>
      <w:tr>
        <w:tc>
          <w:tcPr/>
          <w:p>
            <w:r>
              <w:t xml:space="preserve">36</w:t>
            </w:r>
          </w:p>
        </w:tc>
        <w:tc>
          <w:tcPr/>
          <w:p>
            <w:r>
              <w:t xml:space="preserve">12</w:t>
            </w:r>
          </w:p>
        </w:tc>
        <w:tc>
          <w:tcPr/>
          <w:p>
            <w:r>
              <w:t xml:space="preserve">61 %</w:t>
            </w:r>
          </w:p>
        </w:tc>
        <w:tc>
          <w:tcPr/>
          <w:p>
            <w:r>
              <w:t xml:space="preserve">9</w:t>
            </w:r>
          </w:p>
        </w:tc>
        <w:tc>
          <w:tcPr/>
          <w:p>
            <w:r>
              <w:t xml:space="preserve">44 %</w:t>
            </w:r>
          </w:p>
        </w:tc>
      </w:tr>
      <w:tr>
        <w:tc>
          <w:tcPr/>
          <w:p>
            <w:r>
              <w:t xml:space="preserve">10</w:t>
            </w:r>
          </w:p>
        </w:tc>
        <w:tc>
          <w:tcPr>
            <w:gridSpan w:val="4"/>
          </w:tcPr>
          <w:p>
            <w:r>
              <w:t xml:space="preserve">Evacuated during the refit — no shift data</w:t>
            </w:r>
          </w:p>
        </w:tc>
      </w:tr>
      <w:tr>
        <w:tc>
          <w:tcPr>
            <w:vMerge w:val="restart"/>
          </w:tcPr>
          <w:p>
            <w:r>
              <w:t xml:space="preserve">4</w:t>
            </w:r>
          </w:p>
        </w:tc>
        <w:tc>
          <w:tcPr/>
          <w:p>
            <w:r>
              <w:t xml:space="preserve">7</w:t>
            </w:r>
          </w:p>
        </w:tc>
        <w:tc>
          <w:tcPr/>
          <w:p>
            <w:r>
              <w:t xml:space="preserve">30 %</w:t>
            </w:r>
          </w:p>
        </w:tc>
        <w:tc>
          <w:tcPr/>
          <w:p>
            <w:r>
              <w:t xml:space="preserve">7</w:t>
            </w:r>
          </w:p>
        </w:tc>
        <w:tc>
          <w:tcPr/>
          <w:p>
            <w:r>
              <w:t xml:space="preserve">31 %</w:t>
            </w:r>
          </w:p>
        </w:tc>
      </w:tr>
      <w:tr>
        <w:tc>
          <w:tcPr>
            <w:vMerge/>
          </w:tcPr>
          <w:p>
            <w:r>
              <w:t xml:space="preserve"/>
            </w:r>
          </w:p>
        </w:tc>
        <w:tc>
          <w:tcPr/>
          <w:p>
            <w:r>
              <w:t xml:space="preserve">8</w:t>
            </w:r>
          </w:p>
        </w:tc>
        <w:tc>
          <w:tcPr/>
          <w:p>
            <w:r>
              <w:t xml:space="preserve">35 %</w:t>
            </w:r>
          </w:p>
        </w:tc>
        <w:tc>
          <w:tcPr/>
          <w:p>
            <w:r>
              <w:t xml:space="preserve">6</w:t>
            </w:r>
          </w:p>
        </w:tc>
        <w:tc>
          <w:tcPr/>
          <w:p>
            <w:r>
              <w:t xml:space="preserve">28 %</w:t>
            </w:r>
          </w:p>
        </w:tc>
      </w:tr>
    </w:tbl>
    <w:p>
      <w:pPr>
        <w:pStyle w:val="Heading3"/>
      </w:pPr>
      <w:r>
        <w:t xml:space="preserve">Single column</w:t>
      </w:r>
    </w:p>
    <w:tbl>
      <w:tblPr>
        <w:tblStyle w:val="TableGrid"/>
        <w:tblW w:w="0" w:type="auto"/>
      </w:tblPr>
      <w:tblGrid>
        <w:gridCol w:w="9360"/>
      </w:tblGrid>
      <w:tr>
        <w:tc>
          <w:tcPr/>
          <w:p>
            <w:r>
              <w:rPr>
                <w:b/>
              </w:rPr>
              <w:t xml:space="preserve">Outstanding work orders</w:t>
            </w:r>
          </w:p>
        </w:tc>
      </w:tr>
      <w:tr>
        <w:tc>
          <w:tcPr/>
          <w:p>
            <w:r>
              <w:t xml:space="preserve">Recalibrate the lateral sensor array</w:t>
            </w:r>
          </w:p>
        </w:tc>
      </w:tr>
      <w:tr>
        <w:tc>
          <w:tcPr/>
          <w:p>
            <w:r>
              <w:t xml:space="preserve">Replace EPS conduit, deck 12</w:t>
            </w:r>
          </w:p>
        </w:tc>
      </w:tr>
      <w:tr>
        <w:tc>
          <w:tcPr/>
          <w:p>
            <w:r>
              <w:t xml:space="preserve">Purge the Jefferies tube 17 plasma relay</w:t>
            </w:r>
          </w:p>
        </w:tc>
      </w:tr>
    </w:tbl>
    <w:p>
      <w:pPr>
        <w:pStyle w:val="Heading3"/>
      </w:pPr>
      <w:r>
        <w:t xml:space="preserve">Hostile cells</w:t>
      </w:r>
    </w:p>
    <w:tbl>
      <w:tblPr>
        <w:tblStyle w:val="TableGrid"/>
        <w:tblW w:w="0" w:type="auto"/>
      </w:tblPr>
      <w:tblGrid>
        <w:gridCol w:w="4680"/>
        <w:gridCol w:w="4680"/>
      </w:tblGrid>
      <w:tr>
        <w:tc>
          <w:tcPr/>
          <w:p>
            <w:r>
              <w:rPr>
                <w:b/>
              </w:rPr>
              <w:t xml:space="preserve">Field</w:t>
            </w:r>
          </w:p>
        </w:tc>
        <w:tc>
          <w:tcPr/>
          <w:p>
            <w:r>
              <w:rPr>
                <w:b/>
              </w:rPr>
              <w:t xml:space="preserve">Value</w:t>
            </w:r>
          </w:p>
        </w:tc>
      </w:tr>
      <w:tr>
        <w:tc>
          <w:tcPr/>
          <w:p>
            <w:r>
              <w:t xml:space="preserve">Regex used by the parser</w:t>
            </w:r>
          </w:p>
        </w:tc>
        <w:tc>
          <w:tcPr/>
          <w:p>
            <w:r>
              <w:t xml:space="preserve">^(warp|impulse|thruster)$</w:t>
            </w:r>
          </w:p>
        </w:tc>
      </w:tr>
      <w:tr>
        <w:tc>
          <w:tcPr/>
          <w:p>
            <w:r>
              <w:t xml:space="preserve">Shell snippet</w:t>
            </w:r>
          </w:p>
        </w:tc>
        <w:tc>
          <w:tcPr/>
          <w:p>
            <w:r>
              <w:t xml:space="preserve">tricorder --scan | grep dilithium | wc -l</w:t>
            </w:r>
          </w:p>
        </w:tc>
      </w:tr>
      <w:tr>
        <w:tc>
          <w:tcPr/>
          <w:p>
            <w:r>
              <w:t xml:space="preserve">Multi-line note</w:t>
            </w:r>
          </w:p>
        </w:tc>
        <w:tc>
          <w:tcPr/>
          <w:p>
            <w:r>
              <w:t xml:space="preserve">Line one of the note.</w:t>
            </w:r>
          </w:p>
          <w:p>
            <w:r>
              <w:t xml:space="preserve">Line two, same cell.</w:t>
            </w:r>
          </w:p>
          <w:p>
            <w:r>
              <w:t xml:space="preserve">Line three.</w:t>
            </w:r>
          </w:p>
        </w:tc>
      </w:tr>
      <w:tr>
        <w:tc>
          <w:tcPr/>
          <w:p>
            <w:r>
              <w:t xml:space="preserve">Soft break inside a run</w:t>
            </w:r>
          </w:p>
        </w:tc>
        <w:tc>
          <w:tcPr/>
          <w:p>
            <w:r>
              <w:t xml:space="preserve">first half</w:t>
              <w:br/>
              <w:t xml:space="preserve">second half</w:t>
            </w:r>
          </w:p>
        </w:tc>
      </w:tr>
      <w:tr>
        <w:tc>
          <w:tcPr/>
          <w:p>
            <w:r>
              <w:t xml:space="preserve">Empty next</w:t>
            </w:r>
          </w:p>
        </w:tc>
        <w:tc>
          <w:tcPr/>
          <w:p>
            <w:r>
              <w:t xml:space="preserve"/>
            </w:r>
          </w:p>
        </w:tc>
      </w:tr>
    </w:tbl>
    <w:p>
      <w:pPr>
        <w:pStyle w:val="Heading2"/>
      </w:pPr>
      <w:r>
        <w:t xml:space="preserve">Runbook</w:t>
      </w:r>
    </w:p>
    <w:p>
      <w:r>
        <w:t xml:space="preserve">Call </w:t>
      </w:r>
      <w:r>
        <w:rPr>
          <w:rFonts w:ascii="Consolas" w:hAnsi="Consolas"/>
        </w:rPr>
        <w:t xml:space="preserve">warpCore.eject()</w:t>
      </w:r>
      <w:r>
        <w:t xml:space="preserve"> only after </w:t>
      </w:r>
      <w:r>
        <w:rPr>
          <w:rFonts w:ascii="Consolas" w:hAnsi="Consolas"/>
        </w:rPr>
        <w:t xml:space="preserve">containment.lock()</w:t>
      </w:r>
      <w:r>
        <w:t xml:space="preserve"> returns </w:t>
      </w:r>
      <w:r>
        <w:rPr>
          <w:rFonts w:ascii="Consolas" w:hAnsi="Consolas"/>
        </w:rPr>
        <w:t xml:space="preserve">true</w:t>
      </w:r>
      <w:r>
        <w:t xml:space="preserve">; the </w:t>
      </w:r>
      <w:r>
        <w:rPr>
          <w:rFonts w:ascii="Consolas" w:hAnsi="Consolas"/>
        </w:rPr>
        <w:t xml:space="preserve">--force</w:t>
      </w:r>
      <w:r>
        <w:t xml:space="preserve"> flag is not a substitute.</w:t>
      </w:r>
    </w:p>
    <w:p>
      <w:pPr>
        <w:pStyle w:val="Heading3"/>
      </w:pPr>
      <w:r>
        <w:t xml:space="preserve">Indented Python, pasted from a terminal:</w:t>
      </w:r>
    </w:p>
    <w:p>
      <w:pPr>
        <w:pStyle w:val="HTMLPreformatted"/>
      </w:pPr>
      <w:r>
        <w:rPr>
          <w:rFonts w:ascii="Consolas" w:hAnsi="Consolas"/>
        </w:rPr>
        <w:t xml:space="preserve">def containment_margin(readings):</w:t>
      </w:r>
    </w:p>
    <w:p>
      <w:pPr>
        <w:pStyle w:val="HTMLPreformatted"/>
      </w:pPr>
      <w:r>
        <w:rPr>
          <w:rFonts w:ascii="Consolas" w:hAnsi="Consolas"/>
        </w:rPr>
        <w:t xml:space="preserve">    total = 0</w:t>
      </w:r>
    </w:p>
    <w:p>
      <w:pPr>
        <w:pStyle w:val="HTMLPreformatted"/>
      </w:pPr>
      <w:r>
        <w:rPr>
          <w:rFonts w:ascii="Consolas" w:hAnsi="Consolas"/>
        </w:rPr>
        <w:t xml:space="preserve">    for r in readings:</w:t>
      </w:r>
    </w:p>
    <w:p>
      <w:pPr>
        <w:pStyle w:val="HTMLPreformatted"/>
      </w:pPr>
      <w:r>
        <w:rPr>
          <w:rFonts w:ascii="Consolas" w:hAnsi="Consolas"/>
        </w:rPr>
        <w:t xml:space="preserve">        if r.stable:</w:t>
      </w:r>
    </w:p>
    <w:p>
      <w:pPr>
        <w:pStyle w:val="HTMLPreformatted"/>
      </w:pPr>
      <w:r>
        <w:rPr>
          <w:rFonts w:ascii="Consolas" w:hAnsi="Consolas"/>
        </w:rPr>
        <w:t xml:space="preserve">            total += r.margin</w:t>
      </w:r>
    </w:p>
    <w:p>
      <w:pPr>
        <w:pStyle w:val="HTMLPreformatted"/>
      </w:pPr>
      <w:r>
        <w:rPr>
          <w:rFonts w:ascii="Consolas" w:hAnsi="Consolas"/>
        </w:rPr>
        <w:t xml:space="preserve">        else:</w:t>
      </w:r>
    </w:p>
    <w:p>
      <w:pPr>
        <w:pStyle w:val="HTMLPreformatted"/>
      </w:pPr>
      <w:r>
        <w:rPr>
          <w:rFonts w:ascii="Consolas" w:hAnsi="Consolas"/>
        </w:rPr>
        <w:t xml:space="preserve">            total -= r.margin * 2</w:t>
      </w:r>
    </w:p>
    <w:p>
      <w:pPr>
        <w:pStyle w:val="HTMLPreformatted"/>
      </w:pPr>
      <w:r>
        <w:rPr>
          <w:rFonts w:ascii="Consolas" w:hAnsi="Consolas"/>
        </w:rPr>
        <w:t xml:space="preserve">    return total / len(readings)</w:t>
      </w:r>
    </w:p>
    <w:p>
      <w:pPr>
        <w:pStyle w:val="Heading3"/>
      </w:pPr>
      <w:r>
        <w:t xml:space="preserve">A Markdown sample containing its own fence:</w:t>
      </w:r>
    </w:p>
    <w:p>
      <w:pPr>
        <w:pStyle w:val="HTMLPreformatted"/>
      </w:pPr>
      <w:r>
        <w:rPr>
          <w:rFonts w:ascii="Consolas" w:hAnsi="Consolas"/>
        </w:rPr>
        <w:t xml:space="preserve">Document the ejection sequence like this:</w:t>
      </w:r>
    </w:p>
    <w:p>
      <w:pPr>
        <w:pStyle w:val="HTMLPreformatted"/>
      </w:pPr>
      <w:r>
        <w:rPr>
          <w:rFonts w:ascii="Consolas" w:hAnsi="Consolas"/>
        </w:rPr>
        <w:t xml:space="preserve"/>
      </w:r>
    </w:p>
    <w:p>
      <w:pPr>
        <w:pStyle w:val="HTMLPreformatted"/>
      </w:pPr>
      <w:r>
        <w:rPr>
          <w:rFonts w:ascii="Consolas" w:hAnsi="Consolas"/>
        </w:rPr>
        <w:t xml:space="preserve">```js</w:t>
      </w:r>
    </w:p>
    <w:p>
      <w:pPr>
        <w:pStyle w:val="HTMLPreformatted"/>
      </w:pPr>
      <w:r>
        <w:rPr>
          <w:rFonts w:ascii="Consolas" w:hAnsi="Consolas"/>
        </w:rPr>
        <w:t xml:space="preserve">warpCore.eject();      // two spaces of padding here matter</w:t>
      </w:r>
    </w:p>
    <w:p>
      <w:pPr>
        <w:pStyle w:val="HTMLPreformatted"/>
      </w:pPr>
      <w:r>
        <w:rPr>
          <w:rFonts w:ascii="Consolas" w:hAnsi="Consolas"/>
        </w:rPr>
        <w:t xml:space="preserve">```</w:t>
      </w:r>
    </w:p>
    <w:p>
      <w:pPr>
        <w:pStyle w:val="HTMLPreformatted"/>
      </w:pPr>
      <w:r>
        <w:rPr>
          <w:rFonts w:ascii="Consolas" w:hAnsi="Consolas"/>
        </w:rPr>
        <w:t xml:space="preserve"/>
      </w:r>
    </w:p>
    <w:p>
      <w:pPr>
        <w:pStyle w:val="HTMLPreformatted"/>
      </w:pPr>
      <w:r>
        <w:rPr>
          <w:rFonts w:ascii="Consolas" w:hAnsi="Consolas"/>
        </w:rPr>
        <w:t xml:space="preserve">The fence above is three backticks, inside this block.</w:t>
      </w:r>
    </w:p>
    <w:p>
      <w:pPr>
        <w:pStyle w:val="Heading2"/>
      </w:pPr>
      <w:r>
        <w:t xml:space="preserve">Sign-off</w:t>
      </w:r>
    </w:p>
    <w:p>
      <w:r>
        <w:rPr>
          <w:b/>
        </w:rPr>
        <w:t xml:space="preserve">Signed off by the board on 2370‑10‑01.</w:t>
      </w:r>
    </w:p>
    <w:p>
      <w:r>
        <w:t xml:space="preserve">This document is intended solely for the addressee and may contain information proprietary to the Utopia Planitia Fleet Yards. If you are not the intended recipient, notify the sender and delete all copies.</w:t>
      </w:r>
    </w:p>
    <w:p>
      <w:r>
        <w:t xml:space="preserve">This document is intended solely for the addressee and may contain information proprietary to the Utopia Planitia Fleet Yards. If you are not the intended recipient, notify the sender and delete all copies.</w:t>
      </w:r>
    </w:p>
    <w:p>
      <w:r>
        <w:t xml:space="preserve">Privacy | Terms | Cookie policy | Accessibility</w:t>
      </w:r>
    </w:p>
    <w:p>
      <w:r>
        <w:t xml:space="preserve">© 2370 Starfleet Corps of Engineers. All rights reserved.    </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lvl w:ilvl="0">
      <w:numFmt w:val="bullet"/>
      <w:lvlText w:val="•"/>
    </w:lvl>
    <w:lvl w:ilvl="1">
      <w:numFmt w:val="bullet"/>
      <w:lvlText w:val="o"/>
    </w:lvl>
    <w:lvl w:ilvl="2">
      <w:numFmt w:val="bullet"/>
      <w:lvlText w:val="▪"/>
    </w:lvl>
  </w:abstractNum>
  <w:abstractNum w:abstractNumId="1">
    <w:lvl w:ilvl="0">
      <w:numFmt w:val="decimal"/>
      <w:lvlText w:val="%1."/>
    </w:lvl>
    <w:lvl w:ilvl="1">
      <w:numFmt w:val="lowerLetter"/>
      <w:lvlText w:val="%2."/>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tyle w:type="paragraph" w:styleId="Normal">
    <w:name w:val="Normal"/>
  </w:style>
  <w:style w:type="paragraph" w:styleId="Heading1">
    <w:name w:val="heading 1"/>
  </w:style>
  <w:style w:type="paragraph" w:styleId="Heading2">
    <w:name w:val="heading 2"/>
  </w:style>
  <w:style w:type="paragraph" w:styleId="Heading3">
    <w:name w:val="heading 3"/>
  </w:style>
  <w:style w:type="paragraph" w:styleId="Heading4">
    <w:name w:val="heading 4"/>
  </w:style>
  <w:style w:type="paragraph" w:styleId="ListParagraph">
    <w:name w:val="List Paragraph"/>
  </w:style>
  <w:style w:type="paragraph" w:styleId="HTMLPreformatted">
    <w:name w:val="HTML Preformatted"/>
  </w:style>
  <w:style w:type="paragraph" w:styleId="Quote">
    <w:name w:val="Quote"/>
  </w:style>
  <w:style w:type="character" w:styleId="Hyperlink">
    <w:name w:val="Hyperlink"/>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20" Type="http://schemas.openxmlformats.org/officeDocument/2006/relationships/hyperlink" Target="https://fleetyards.example/refit/1701d" TargetMode="External"/><Relationship Id="rId21" Type="http://schemas.openxmlformats.org/officeDocument/2006/relationships/hyperlink" Target="https://daystrom.example/reports/warp-core" TargetMode="External"/></Relationships>
</file>