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A212DE" w14:textId="33BBBE87" w:rsidR="002A5412" w:rsidRDefault="00E60541" w:rsidP="00E60541">
      <w:pPr>
        <w:pStyle w:val="Heading1"/>
      </w:pPr>
      <w:r>
        <w:t>S</w:t>
      </w:r>
      <w:r w:rsidR="002A5412">
        <w:t>upplementary materials for Bottino et al</w:t>
      </w:r>
      <w:r>
        <w:t>,</w:t>
      </w:r>
      <w:r w:rsidR="002A5412">
        <w:t xml:space="preserve"> </w:t>
      </w:r>
      <w:r w:rsidR="001C00F1">
        <w:t>Antibody Therapeutics</w:t>
      </w:r>
      <w:r>
        <w:t xml:space="preserve"> (2021)</w:t>
      </w:r>
    </w:p>
    <w:p w14:paraId="1F137461" w14:textId="694747C5" w:rsidR="00E60541" w:rsidRDefault="00E60541" w:rsidP="002A5412"/>
    <w:p w14:paraId="6E994321" w14:textId="2B3087A3" w:rsidR="00744363" w:rsidRDefault="00744363" w:rsidP="00744363">
      <w:pPr>
        <w:pStyle w:val="Heading2"/>
      </w:pPr>
      <w:r>
        <w:t>Supplementary methods</w:t>
      </w:r>
    </w:p>
    <w:p w14:paraId="317F299B" w14:textId="7F4DB254" w:rsidR="000B12FC" w:rsidRDefault="000B12FC" w:rsidP="000B12FC">
      <w:pPr>
        <w:pStyle w:val="Teaser"/>
        <w:spacing w:line="259" w:lineRule="auto"/>
        <w:ind w:firstLine="720"/>
      </w:pPr>
      <w:r>
        <w:t xml:space="preserve">To isolate the effect of using mixed effects modeling versus naïve-pooled parameter estimation (rather than embarking on a model-building activity), we used the default Monolix (2020R1, Lixoft) settings and the same single-exponential model used by </w:t>
      </w:r>
      <w:r w:rsidR="00BA019B">
        <w:t>(</w:t>
      </w:r>
      <w:r>
        <w:t xml:space="preserve">Dan </w:t>
      </w:r>
      <w:r w:rsidR="00BA019B">
        <w:t>2021)</w:t>
      </w:r>
      <w:r>
        <w:t xml:space="preserve"> to fit PSV observations (</w:t>
      </w:r>
      <m:oMath>
        <m:sSub>
          <m:sSubPr>
            <m:ctrlPr>
              <w:rPr>
                <w:rFonts w:ascii="Cambria Math" w:hAnsi="Cambria Math"/>
                <w:i/>
              </w:rPr>
            </m:ctrlPr>
          </m:sSubPr>
          <m:e>
            <m:r>
              <w:rPr>
                <w:rFonts w:ascii="Cambria Math" w:hAnsi="Cambria Math"/>
              </w:rPr>
              <m:t>y</m:t>
            </m:r>
          </m:e>
          <m:sub>
            <m:r>
              <w:rPr>
                <w:rFonts w:ascii="Cambria Math" w:hAnsi="Cambria Math"/>
              </w:rPr>
              <m:t>obs</m:t>
            </m:r>
          </m:sub>
        </m:sSub>
        <m:r>
          <w:rPr>
            <w:rFonts w:ascii="Cambria Math" w:hAnsi="Cambria Math"/>
          </w:rPr>
          <m:t>(t)</m:t>
        </m:r>
      </m:oMath>
      <w:r>
        <w:t>):</w:t>
      </w:r>
    </w:p>
    <w:p w14:paraId="766BEDE8" w14:textId="77777777" w:rsidR="000B12FC" w:rsidRPr="00924A7C" w:rsidRDefault="00B56CD8" w:rsidP="000B12FC">
      <m:oMathPara>
        <m:oMath>
          <m:sSub>
            <m:sSubPr>
              <m:ctrlPr>
                <w:rPr>
                  <w:rFonts w:ascii="Cambria Math" w:hAnsi="Cambria Math"/>
                  <w:i/>
                </w:rPr>
              </m:ctrlPr>
            </m:sSubPr>
            <m:e>
              <m:r>
                <w:rPr>
                  <w:rFonts w:ascii="Cambria Math" w:hAnsi="Cambria Math"/>
                </w:rPr>
                <m:t>y</m:t>
              </m:r>
            </m:e>
            <m:sub>
              <m:r>
                <w:rPr>
                  <w:rFonts w:ascii="Cambria Math" w:hAnsi="Cambria Math"/>
                </w:rPr>
                <m:t>obs</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0</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-k</m:t>
                  </m:r>
                </m:e>
                <m:sub>
                  <m:r>
                    <w:rPr>
                      <w:rFonts w:ascii="Cambria Math" w:hAnsi="Cambria Math"/>
                    </w:rPr>
                    <m:t>el</m:t>
                  </m:r>
                </m:sub>
              </m:sSub>
              <m:r>
                <w:rPr>
                  <w:rFonts w:ascii="Cambria Math" w:hAnsi="Cambria Math"/>
                </w:rPr>
                <m:t>t</m:t>
              </m:r>
            </m:sup>
          </m:sSup>
          <m:r>
            <w:rPr>
              <w:rFonts w:ascii="Cambria Math" w:hAnsi="Cambria Math"/>
            </w:rPr>
            <m:t>[1+bϵ]</m:t>
          </m:r>
        </m:oMath>
      </m:oMathPara>
    </w:p>
    <w:p w14:paraId="4600C3B3" w14:textId="77777777" w:rsidR="000B12FC" w:rsidRDefault="000B12FC" w:rsidP="000B12FC">
      <w:pPr>
        <w:pStyle w:val="Teaser"/>
        <w:spacing w:line="259" w:lineRule="auto"/>
      </w:pPr>
      <w:r>
        <w:t xml:space="preserve">The parameter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is the estimated PSV titer at symptom onset,</w:t>
      </w:r>
      <m:oMath>
        <m:r>
          <w:rPr>
            <w:rFonts w:ascii="Cambria Math" w:hAnsi="Cambria Math"/>
          </w:rPr>
          <m:t xml:space="preserve"> e</m:t>
        </m:r>
      </m:oMath>
      <w:r>
        <w:t xml:space="preserve"> is Euler’s number, </w:t>
      </w:r>
      <m:oMath>
        <m:sSub>
          <m:sSubPr>
            <m:ctrlPr>
              <w:rPr>
                <w:rFonts w:ascii="Cambria Math" w:hAnsi="Cambria Math"/>
                <w:i/>
              </w:rPr>
            </m:ctrlPr>
          </m:sSubPr>
          <m:e>
            <m:r>
              <w:rPr>
                <w:rFonts w:ascii="Cambria Math" w:hAnsi="Cambria Math"/>
              </w:rPr>
              <m:t>k</m:t>
            </m:r>
          </m:e>
          <m:sub>
            <m:r>
              <w:rPr>
                <w:rFonts w:ascii="Cambria Math" w:hAnsi="Cambria Math"/>
              </w:rPr>
              <m:t>el</m:t>
            </m:r>
          </m:sub>
        </m:sSub>
      </m:oMath>
      <w:r>
        <w:t xml:space="preserve"> is the PSV titer exponential elimination rate (1/day), </w:t>
      </w:r>
      <m:oMath>
        <m:r>
          <w:rPr>
            <w:rFonts w:ascii="Cambria Math" w:hAnsi="Cambria Math"/>
          </w:rPr>
          <m:t>t</m:t>
        </m:r>
      </m:oMath>
      <w:r>
        <w:t xml:space="preserve"> is time in days post-symptom onset, </w:t>
      </w:r>
      <m:oMath>
        <m:r>
          <w:rPr>
            <w:rFonts w:ascii="Cambria Math" w:hAnsi="Cambria Math"/>
          </w:rPr>
          <m:t>b</m:t>
        </m:r>
      </m:oMath>
      <w:r>
        <w:t xml:space="preserve"> is the estimated magnitude of proportional error between the model prediction and noisy observations, and </w:t>
      </w:r>
      <m:oMath>
        <m:r>
          <w:rPr>
            <w:rFonts w:ascii="Cambria Math" w:hAnsi="Cambria Math"/>
          </w:rPr>
          <m:t>ϵ</m:t>
        </m:r>
      </m:oMath>
      <w:r>
        <w:t xml:space="preserve"> is a standard normally distributed random variable. </w:t>
      </w:r>
    </w:p>
    <w:p w14:paraId="2592CBE1" w14:textId="22BE4E85" w:rsidR="000B12FC" w:rsidRDefault="000B12FC" w:rsidP="000B12FC">
      <w:pPr>
        <w:pStyle w:val="Teaser"/>
        <w:spacing w:line="259" w:lineRule="auto"/>
        <w:ind w:firstLine="720"/>
      </w:pPr>
      <w:r>
        <w:t xml:space="preserve">We performed nonlinear mixed effects modeling using Monolix Suite 2020R1 (Lixoft). By default, monolix uses interval censoring information (in this case BLOQ PSVNT between 0 and 20) to properly integrate the likelihood function over the interval (often referred to as the ‘M3’ method in MEM community – </w:t>
      </w:r>
      <w:r w:rsidR="00BA019B">
        <w:t>Beal 2001</w:t>
      </w:r>
      <w:r>
        <w:t>). The MEM-formatted dataset were derived from the dataset provided in Supplementary Materials from (1); the Monolix project and model files, input dataset and R code for generating the figures are included in the supplementary materials.</w:t>
      </w:r>
    </w:p>
    <w:p w14:paraId="0BA42E1D" w14:textId="77777777" w:rsidR="000B12FC" w:rsidRDefault="000B12FC" w:rsidP="000B12FC">
      <w:pPr>
        <w:pStyle w:val="Teaser"/>
        <w:spacing w:line="259" w:lineRule="auto"/>
      </w:pPr>
      <w:r>
        <w:tab/>
        <w:t>By the standard MEM framework, we assumed inter-individual variability on both model parameters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k</m:t>
            </m:r>
          </m:e>
          <m:sub>
            <m:r>
              <w:rPr>
                <w:rFonts w:ascii="Cambria Math" w:hAnsi="Cambria Math"/>
              </w:rPr>
              <m:t>el</m:t>
            </m:r>
          </m:sub>
        </m:sSub>
      </m:oMath>
      <w:r>
        <w:t xml:space="preserve">), which were both assumed to be lognormally distributed across the population. In other words, the parameters </w:t>
      </w:r>
      <m:oMath>
        <m:sSubSup>
          <m:sSubSupPr>
            <m:ctrlPr>
              <w:rPr>
                <w:rFonts w:ascii="Cambria Math" w:hAnsi="Cambria Math"/>
                <w:i/>
              </w:rPr>
            </m:ctrlPr>
          </m:sSubSupPr>
          <m:e>
            <m:r>
              <w:rPr>
                <w:rFonts w:ascii="Cambria Math" w:hAnsi="Cambria Math"/>
              </w:rPr>
              <m:t>y</m:t>
            </m:r>
          </m:e>
          <m:sub>
            <m:r>
              <w:rPr>
                <w:rFonts w:ascii="Cambria Math" w:hAnsi="Cambria Math"/>
              </w:rPr>
              <m:t>0</m:t>
            </m:r>
          </m:sub>
          <m:sup>
            <m:r>
              <w:rPr>
                <w:rFonts w:ascii="Cambria Math" w:hAnsi="Cambria Math"/>
              </w:rPr>
              <m:t>j</m:t>
            </m:r>
          </m:sup>
        </m:sSubSup>
      </m:oMath>
      <w:r>
        <w:t xml:space="preserve"> and </w:t>
      </w:r>
      <m:oMath>
        <m:sSubSup>
          <m:sSubSupPr>
            <m:ctrlPr>
              <w:rPr>
                <w:rFonts w:ascii="Cambria Math" w:hAnsi="Cambria Math"/>
                <w:i/>
              </w:rPr>
            </m:ctrlPr>
          </m:sSubSupPr>
          <m:e>
            <m:r>
              <w:rPr>
                <w:rFonts w:ascii="Cambria Math" w:hAnsi="Cambria Math"/>
              </w:rPr>
              <m:t>k</m:t>
            </m:r>
          </m:e>
          <m:sub>
            <m:r>
              <w:rPr>
                <w:rFonts w:ascii="Cambria Math" w:hAnsi="Cambria Math"/>
              </w:rPr>
              <m:t>el</m:t>
            </m:r>
          </m:sub>
          <m:sup>
            <m:r>
              <w:rPr>
                <w:rFonts w:ascii="Cambria Math" w:hAnsi="Cambria Math"/>
              </w:rPr>
              <m:t>j</m:t>
            </m:r>
          </m:sup>
        </m:sSubSup>
      </m:oMath>
      <w:r>
        <w:t xml:space="preserve"> for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individual are given by:</w:t>
      </w:r>
    </w:p>
    <w:p w14:paraId="3489CAEE" w14:textId="74891C26" w:rsidR="000B12FC" w:rsidRPr="004B593F" w:rsidRDefault="00B56CD8" w:rsidP="000B12FC">
      <w:pPr>
        <w:pStyle w:val="Teaser"/>
        <w:spacing w:line="259" w:lineRule="auto"/>
      </w:pPr>
      <m:oMathPara>
        <m:oMath>
          <m:sSubSup>
            <m:sSubSupPr>
              <m:ctrlPr>
                <w:rPr>
                  <w:rFonts w:ascii="Cambria Math" w:hAnsi="Cambria Math"/>
                  <w:i/>
                </w:rPr>
              </m:ctrlPr>
            </m:sSubSupPr>
            <m:e>
              <m:r>
                <w:rPr>
                  <w:rFonts w:ascii="Cambria Math" w:hAnsi="Cambria Math"/>
                </w:rPr>
                <m:t>y</m:t>
              </m:r>
            </m:e>
            <m:sub>
              <m:r>
                <w:rPr>
                  <w:rFonts w:ascii="Cambria Math" w:hAnsi="Cambria Math"/>
                </w:rPr>
                <m:t>0</m:t>
              </m:r>
            </m:sub>
            <m:sup>
              <m:r>
                <w:rPr>
                  <w:rFonts w:ascii="Cambria Math" w:hAnsi="Cambria Math"/>
                </w:rPr>
                <m:t>j</m:t>
              </m:r>
            </m:sup>
          </m:sSubSup>
          <m:r>
            <w:rPr>
              <w:rFonts w:ascii="Cambria Math" w:hAnsi="Cambria Math"/>
            </w:rPr>
            <m:t>=</m:t>
          </m:r>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y</m:t>
                  </m:r>
                </m:e>
                <m:sub>
                  <m:r>
                    <w:rPr>
                      <w:rFonts w:ascii="Cambria Math" w:hAnsi="Cambria Math"/>
                    </w:rPr>
                    <m:t>0</m:t>
                  </m:r>
                </m:sub>
              </m:sSub>
            </m:sub>
          </m:sSub>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r>
                    <w:rPr>
                      <w:rFonts w:ascii="Cambria Math" w:hAnsi="Cambria Math"/>
                    </w:rPr>
                    <m:t>η</m:t>
                  </m:r>
                </m:e>
                <m:sub>
                  <m:sSub>
                    <m:sSubPr>
                      <m:ctrlPr>
                        <w:rPr>
                          <w:rFonts w:ascii="Cambria Math" w:hAnsi="Cambria Math"/>
                          <w:i/>
                        </w:rPr>
                      </m:ctrlPr>
                    </m:sSubPr>
                    <m:e>
                      <m:r>
                        <w:rPr>
                          <w:rFonts w:ascii="Cambria Math" w:hAnsi="Cambria Math"/>
                        </w:rPr>
                        <m:t>y</m:t>
                      </m:r>
                    </m:e>
                    <m:sub>
                      <m:r>
                        <w:rPr>
                          <w:rFonts w:ascii="Cambria Math" w:hAnsi="Cambria Math"/>
                        </w:rPr>
                        <m:t>0</m:t>
                      </m:r>
                    </m:sub>
                  </m:sSub>
                </m:sub>
                <m:sup>
                  <m:r>
                    <w:rPr>
                      <w:rFonts w:ascii="Cambria Math" w:hAnsi="Cambria Math"/>
                    </w:rPr>
                    <m:t>j</m:t>
                  </m:r>
                </m:sup>
              </m:sSubSup>
            </m:sup>
          </m:sSup>
        </m:oMath>
      </m:oMathPara>
    </w:p>
    <w:p w14:paraId="253ACF60" w14:textId="4B09E43A" w:rsidR="000B12FC" w:rsidRPr="00EB28FB" w:rsidRDefault="00B56CD8" w:rsidP="000B12FC">
      <w:pPr>
        <w:pStyle w:val="Teaser"/>
        <w:spacing w:line="259" w:lineRule="auto"/>
      </w:pPr>
      <m:oMathPara>
        <m:oMath>
          <m:sSubSup>
            <m:sSubSupPr>
              <m:ctrlPr>
                <w:rPr>
                  <w:rFonts w:ascii="Cambria Math" w:hAnsi="Cambria Math"/>
                  <w:i/>
                </w:rPr>
              </m:ctrlPr>
            </m:sSubSupPr>
            <m:e>
              <m:r>
                <w:rPr>
                  <w:rFonts w:ascii="Cambria Math" w:hAnsi="Cambria Math"/>
                </w:rPr>
                <m:t>k</m:t>
              </m:r>
            </m:e>
            <m:sub>
              <m:r>
                <w:rPr>
                  <w:rFonts w:ascii="Cambria Math" w:hAnsi="Cambria Math"/>
                </w:rPr>
                <m:t>el</m:t>
              </m:r>
            </m:sub>
            <m:sup>
              <m:r>
                <w:rPr>
                  <w:rFonts w:ascii="Cambria Math" w:hAnsi="Cambria Math"/>
                </w:rPr>
                <m:t>j</m:t>
              </m:r>
            </m:sup>
          </m:sSubSup>
          <m:r>
            <w:rPr>
              <w:rFonts w:ascii="Cambria Math" w:hAnsi="Cambria Math"/>
            </w:rPr>
            <m:t>=</m:t>
          </m:r>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k</m:t>
                  </m:r>
                </m:e>
                <m:sub>
                  <m:r>
                    <w:rPr>
                      <w:rFonts w:ascii="Cambria Math" w:hAnsi="Cambria Math"/>
                    </w:rPr>
                    <m:t>el</m:t>
                  </m:r>
                </m:sub>
              </m:sSub>
            </m:sub>
          </m:sSub>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r>
                    <w:rPr>
                      <w:rFonts w:ascii="Cambria Math" w:hAnsi="Cambria Math"/>
                    </w:rPr>
                    <m:t>η</m:t>
                  </m:r>
                </m:e>
                <m:sub>
                  <m:sSub>
                    <m:sSubPr>
                      <m:ctrlPr>
                        <w:rPr>
                          <w:rFonts w:ascii="Cambria Math" w:hAnsi="Cambria Math"/>
                          <w:i/>
                        </w:rPr>
                      </m:ctrlPr>
                    </m:sSubPr>
                    <m:e>
                      <m:r>
                        <w:rPr>
                          <w:rFonts w:ascii="Cambria Math" w:hAnsi="Cambria Math"/>
                        </w:rPr>
                        <m:t>k</m:t>
                      </m:r>
                    </m:e>
                    <m:sub>
                      <m:r>
                        <w:rPr>
                          <w:rFonts w:ascii="Cambria Math" w:hAnsi="Cambria Math"/>
                        </w:rPr>
                        <m:t>el</m:t>
                      </m:r>
                    </m:sub>
                  </m:sSub>
                </m:sub>
                <m:sup>
                  <m:r>
                    <w:rPr>
                      <w:rFonts w:ascii="Cambria Math" w:hAnsi="Cambria Math"/>
                    </w:rPr>
                    <m:t>j</m:t>
                  </m:r>
                </m:sup>
              </m:sSubSup>
            </m:sup>
          </m:sSup>
        </m:oMath>
      </m:oMathPara>
    </w:p>
    <w:p w14:paraId="5C325138" w14:textId="6F904393" w:rsidR="000B12FC" w:rsidRDefault="000B12FC" w:rsidP="000B12FC">
      <w:pPr>
        <w:pStyle w:val="Teaser"/>
        <w:spacing w:line="259" w:lineRule="auto"/>
      </w:pPr>
      <w:r>
        <w:t xml:space="preserve">The parameters </w:t>
      </w:r>
      <m:oMath>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y</m:t>
                </m:r>
              </m:e>
              <m:sub>
                <m:r>
                  <w:rPr>
                    <w:rFonts w:ascii="Cambria Math" w:hAnsi="Cambria Math"/>
                  </w:rPr>
                  <m:t>0</m:t>
                </m:r>
              </m:sub>
            </m:sSub>
          </m:sub>
        </m:sSub>
      </m:oMath>
      <w:r>
        <w:t xml:space="preserve"> and </w:t>
      </w:r>
      <m:oMath>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k</m:t>
                </m:r>
              </m:e>
              <m:sub>
                <m:r>
                  <w:rPr>
                    <w:rFonts w:ascii="Cambria Math" w:hAnsi="Cambria Math"/>
                  </w:rPr>
                  <m:t>el</m:t>
                </m:r>
              </m:sub>
            </m:sSub>
          </m:sub>
        </m:sSub>
      </m:oMath>
      <w:r>
        <w:t xml:space="preserve"> are the estimated ‘typical values’ of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k</m:t>
            </m:r>
          </m:e>
          <m:sub>
            <m:r>
              <w:rPr>
                <w:rFonts w:ascii="Cambria Math" w:hAnsi="Cambria Math"/>
              </w:rPr>
              <m:t>el</m:t>
            </m:r>
          </m:sub>
        </m:sSub>
      </m:oMath>
      <w:r>
        <w:t xml:space="preserve"> for the population, and </w:t>
      </w:r>
      <m:oMath>
        <m:sSubSup>
          <m:sSubSupPr>
            <m:ctrlPr>
              <w:rPr>
                <w:rFonts w:ascii="Cambria Math" w:hAnsi="Cambria Math"/>
                <w:i/>
              </w:rPr>
            </m:ctrlPr>
          </m:sSubSupPr>
          <m:e>
            <m:r>
              <w:rPr>
                <w:rFonts w:ascii="Cambria Math" w:hAnsi="Cambria Math"/>
              </w:rPr>
              <m:t>η</m:t>
            </m:r>
          </m:e>
          <m:sub>
            <m:sSub>
              <m:sSubPr>
                <m:ctrlPr>
                  <w:rPr>
                    <w:rFonts w:ascii="Cambria Math" w:hAnsi="Cambria Math"/>
                    <w:i/>
                  </w:rPr>
                </m:ctrlPr>
              </m:sSubPr>
              <m:e>
                <m:r>
                  <w:rPr>
                    <w:rFonts w:ascii="Cambria Math" w:hAnsi="Cambria Math"/>
                  </w:rPr>
                  <m:t>y</m:t>
                </m:r>
              </m:e>
              <m:sub>
                <m:r>
                  <w:rPr>
                    <w:rFonts w:ascii="Cambria Math" w:hAnsi="Cambria Math"/>
                  </w:rPr>
                  <m:t>0</m:t>
                </m:r>
              </m:sub>
            </m:sSub>
          </m:sub>
          <m:sup>
            <m:r>
              <w:rPr>
                <w:rFonts w:ascii="Cambria Math" w:hAnsi="Cambria Math"/>
              </w:rPr>
              <m:t>j</m:t>
            </m:r>
          </m:sup>
        </m:sSubSup>
      </m:oMath>
      <w:r>
        <w:t xml:space="preserve"> and </w:t>
      </w:r>
      <m:oMath>
        <m:sSubSup>
          <m:sSubSupPr>
            <m:ctrlPr>
              <w:rPr>
                <w:rFonts w:ascii="Cambria Math" w:hAnsi="Cambria Math"/>
                <w:i/>
              </w:rPr>
            </m:ctrlPr>
          </m:sSubSupPr>
          <m:e>
            <m:r>
              <w:rPr>
                <w:rFonts w:ascii="Cambria Math" w:hAnsi="Cambria Math"/>
              </w:rPr>
              <m:t>η</m:t>
            </m:r>
          </m:e>
          <m:sub>
            <m:sSub>
              <m:sSubPr>
                <m:ctrlPr>
                  <w:rPr>
                    <w:rFonts w:ascii="Cambria Math" w:hAnsi="Cambria Math"/>
                    <w:i/>
                  </w:rPr>
                </m:ctrlPr>
              </m:sSubPr>
              <m:e>
                <m:r>
                  <w:rPr>
                    <w:rFonts w:ascii="Cambria Math" w:hAnsi="Cambria Math"/>
                  </w:rPr>
                  <m:t>k</m:t>
                </m:r>
              </m:e>
              <m:sub>
                <m:r>
                  <w:rPr>
                    <w:rFonts w:ascii="Cambria Math" w:hAnsi="Cambria Math"/>
                  </w:rPr>
                  <m:t>el</m:t>
                </m:r>
              </m:sub>
            </m:sSub>
          </m:sub>
          <m:sup>
            <m:r>
              <w:rPr>
                <w:rFonts w:ascii="Cambria Math" w:hAnsi="Cambria Math"/>
              </w:rPr>
              <m:t>j</m:t>
            </m:r>
          </m:sup>
        </m:sSubSup>
      </m:oMath>
      <w:r>
        <w:t xml:space="preserve"> are the estimated perturbations to </w:t>
      </w:r>
      <m:oMath>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y</m:t>
                </m:r>
              </m:e>
              <m:sub>
                <m:r>
                  <w:rPr>
                    <w:rFonts w:ascii="Cambria Math" w:hAnsi="Cambria Math"/>
                  </w:rPr>
                  <m:t>0</m:t>
                </m:r>
              </m:sub>
            </m:sSub>
          </m:sub>
        </m:sSub>
      </m:oMath>
      <w:r>
        <w:t xml:space="preserve"> and </w:t>
      </w:r>
      <m:oMath>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k</m:t>
                </m:r>
              </m:e>
              <m:sub>
                <m:r>
                  <w:rPr>
                    <w:rFonts w:ascii="Cambria Math" w:hAnsi="Cambria Math"/>
                  </w:rPr>
                  <m:t>el</m:t>
                </m:r>
              </m:sub>
            </m:sSub>
          </m:sub>
        </m:sSub>
      </m:oMath>
      <w:r>
        <w:t xml:space="preserve"> giving the maximum likelihood estimates of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k</m:t>
            </m:r>
          </m:e>
          <m:sub>
            <m:r>
              <w:rPr>
                <w:rFonts w:ascii="Cambria Math" w:hAnsi="Cambria Math"/>
              </w:rPr>
              <m:t>el</m:t>
            </m:r>
          </m:sub>
        </m:sSub>
      </m:oMath>
      <w:r>
        <w:t xml:space="preserve"> for individual </w:t>
      </w:r>
      <m:oMath>
        <m:r>
          <w:rPr>
            <w:rFonts w:ascii="Cambria Math" w:hAnsi="Cambria Math"/>
          </w:rPr>
          <m:t>j</m:t>
        </m:r>
      </m:oMath>
      <w:r>
        <w:t xml:space="preserve">. These perturbations </w:t>
      </w:r>
      <m:oMath>
        <m:sSubSup>
          <m:sSubSupPr>
            <m:ctrlPr>
              <w:rPr>
                <w:rFonts w:ascii="Cambria Math" w:hAnsi="Cambria Math"/>
                <w:i/>
              </w:rPr>
            </m:ctrlPr>
          </m:sSubSupPr>
          <m:e>
            <m:r>
              <w:rPr>
                <w:rFonts w:ascii="Cambria Math" w:hAnsi="Cambria Math"/>
              </w:rPr>
              <m:t>η</m:t>
            </m:r>
          </m:e>
          <m:sub>
            <m:sSub>
              <m:sSubPr>
                <m:ctrlPr>
                  <w:rPr>
                    <w:rFonts w:ascii="Cambria Math" w:hAnsi="Cambria Math"/>
                    <w:i/>
                  </w:rPr>
                </m:ctrlPr>
              </m:sSubPr>
              <m:e>
                <m:r>
                  <w:rPr>
                    <w:rFonts w:ascii="Cambria Math" w:hAnsi="Cambria Math"/>
                  </w:rPr>
                  <m:t>y</m:t>
                </m:r>
              </m:e>
              <m:sub>
                <m:r>
                  <w:rPr>
                    <w:rFonts w:ascii="Cambria Math" w:hAnsi="Cambria Math"/>
                  </w:rPr>
                  <m:t>0</m:t>
                </m:r>
              </m:sub>
            </m:sSub>
          </m:sub>
          <m:sup>
            <m:r>
              <w:rPr>
                <w:rFonts w:ascii="Cambria Math" w:hAnsi="Cambria Math"/>
              </w:rPr>
              <m:t>j</m:t>
            </m:r>
          </m:sup>
        </m:sSubSup>
      </m:oMath>
      <w:r>
        <w:t xml:space="preserve"> and </w:t>
      </w:r>
      <m:oMath>
        <m:sSubSup>
          <m:sSubSupPr>
            <m:ctrlPr>
              <w:rPr>
                <w:rFonts w:ascii="Cambria Math" w:hAnsi="Cambria Math"/>
                <w:i/>
              </w:rPr>
            </m:ctrlPr>
          </m:sSubSupPr>
          <m:e>
            <m:r>
              <w:rPr>
                <w:rFonts w:ascii="Cambria Math" w:hAnsi="Cambria Math"/>
              </w:rPr>
              <m:t>η</m:t>
            </m:r>
          </m:e>
          <m:sub>
            <m:sSub>
              <m:sSubPr>
                <m:ctrlPr>
                  <w:rPr>
                    <w:rFonts w:ascii="Cambria Math" w:hAnsi="Cambria Math"/>
                    <w:i/>
                  </w:rPr>
                </m:ctrlPr>
              </m:sSubPr>
              <m:e>
                <m:r>
                  <w:rPr>
                    <w:rFonts w:ascii="Cambria Math" w:hAnsi="Cambria Math"/>
                  </w:rPr>
                  <m:t>k</m:t>
                </m:r>
              </m:e>
              <m:sub>
                <m:r>
                  <w:rPr>
                    <w:rFonts w:ascii="Cambria Math" w:hAnsi="Cambria Math"/>
                  </w:rPr>
                  <m:t>el</m:t>
                </m:r>
              </m:sub>
            </m:sSub>
          </m:sub>
          <m:sup>
            <m:r>
              <w:rPr>
                <w:rFonts w:ascii="Cambria Math" w:hAnsi="Cambria Math"/>
              </w:rPr>
              <m:t>j</m:t>
            </m:r>
          </m:sup>
        </m:sSubSup>
      </m:oMath>
      <w:r>
        <w:t xml:space="preserve"> are assumed to come from a normal distribution centered at 0 with estimated standard deviations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y</m:t>
                </m:r>
              </m:e>
              <m:sub>
                <m:r>
                  <w:rPr>
                    <w:rFonts w:ascii="Cambria Math" w:hAnsi="Cambria Math"/>
                  </w:rPr>
                  <m:t>0</m:t>
                </m:r>
              </m:sub>
            </m:sSub>
          </m:sub>
        </m:sSub>
      </m:oMath>
      <w:r>
        <w:t xml:space="preserve"> and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k</m:t>
                </m:r>
              </m:e>
              <m:sub>
                <m:r>
                  <w:rPr>
                    <w:rFonts w:ascii="Cambria Math" w:hAnsi="Cambria Math"/>
                  </w:rPr>
                  <m:t>el</m:t>
                </m:r>
              </m:sub>
            </m:sSub>
          </m:sub>
        </m:sSub>
      </m:oMath>
      <w:r>
        <w:t xml:space="preserve"> respectively. Given an individual-level longitudinal population dataset, such as the PSV neutralizing titers for the 41 patients having PSVNT values for at least two distinct times</w:t>
      </w:r>
      <w:r w:rsidR="00744363">
        <w:t xml:space="preserve"> (Fig S1)</w:t>
      </w:r>
      <w:r>
        <w:t xml:space="preserve">, and initial parameter guesses chosen interactively in the MEM software (e.g., MONOLIX 2020R1) to roughly describe trends in the data, the MEM software simultaneously provides estimates for the population parameters </w:t>
      </w:r>
      <m:oMath>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y</m:t>
                </m:r>
              </m:e>
              <m:sub>
                <m:r>
                  <w:rPr>
                    <w:rFonts w:ascii="Cambria Math" w:hAnsi="Cambria Math"/>
                  </w:rPr>
                  <m:t>0</m:t>
                </m:r>
              </m:sub>
            </m:sSub>
          </m:sub>
        </m:sSub>
      </m:oMath>
      <w:r>
        <w:t xml:space="preserve"> and </w:t>
      </w:r>
      <m:oMath>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k</m:t>
                </m:r>
              </m:e>
              <m:sub>
                <m:r>
                  <w:rPr>
                    <w:rFonts w:ascii="Cambria Math" w:hAnsi="Cambria Math"/>
                  </w:rPr>
                  <m:t>el</m:t>
                </m:r>
              </m:sub>
            </m:sSub>
          </m:sub>
        </m:sSub>
      </m:oMath>
      <w:r>
        <w:t xml:space="preserve"> , and their inter-individual variability standard deviations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y</m:t>
                </m:r>
              </m:e>
              <m:sub>
                <m:r>
                  <w:rPr>
                    <w:rFonts w:ascii="Cambria Math" w:hAnsi="Cambria Math"/>
                  </w:rPr>
                  <m:t>0</m:t>
                </m:r>
              </m:sub>
            </m:sSub>
          </m:sub>
        </m:sSub>
      </m:oMath>
      <w:r>
        <w:t xml:space="preserve"> and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k</m:t>
                </m:r>
              </m:e>
              <m:sub>
                <m:r>
                  <w:rPr>
                    <w:rFonts w:ascii="Cambria Math" w:hAnsi="Cambria Math"/>
                  </w:rPr>
                  <m:t>el</m:t>
                </m:r>
              </m:sub>
            </m:sSub>
          </m:sub>
        </m:sSub>
      </m:oMath>
      <w:r>
        <w:t xml:space="preserve">, proportional error magnitude </w:t>
      </w:r>
      <m:oMath>
        <m:r>
          <w:rPr>
            <w:rFonts w:ascii="Cambria Math" w:hAnsi="Cambria Math"/>
          </w:rPr>
          <m:t>b</m:t>
        </m:r>
      </m:oMath>
      <w:r>
        <w:t xml:space="preserve">, and a set of ‘random effects’ for each individual: </w:t>
      </w:r>
      <m:oMath>
        <m:sSubSup>
          <m:sSubSupPr>
            <m:ctrlPr>
              <w:rPr>
                <w:rFonts w:ascii="Cambria Math" w:hAnsi="Cambria Math"/>
                <w:i/>
              </w:rPr>
            </m:ctrlPr>
          </m:sSubSupPr>
          <m:e>
            <m:r>
              <w:rPr>
                <w:rFonts w:ascii="Cambria Math" w:hAnsi="Cambria Math"/>
              </w:rPr>
              <m:t>{η</m:t>
            </m:r>
          </m:e>
          <m:sub>
            <m:sSub>
              <m:sSubPr>
                <m:ctrlPr>
                  <w:rPr>
                    <w:rFonts w:ascii="Cambria Math" w:hAnsi="Cambria Math"/>
                    <w:i/>
                  </w:rPr>
                </m:ctrlPr>
              </m:sSubPr>
              <m:e>
                <m:r>
                  <w:rPr>
                    <w:rFonts w:ascii="Cambria Math" w:hAnsi="Cambria Math"/>
                  </w:rPr>
                  <m:t>y</m:t>
                </m:r>
              </m:e>
              <m:sub>
                <m:r>
                  <w:rPr>
                    <w:rFonts w:ascii="Cambria Math" w:hAnsi="Cambria Math"/>
                  </w:rPr>
                  <m:t>0</m:t>
                </m:r>
              </m:sub>
            </m:sSub>
          </m:sub>
          <m:sup>
            <m:r>
              <w:rPr>
                <w:rFonts w:ascii="Cambria Math" w:hAnsi="Cambria Math"/>
              </w:rPr>
              <m:t>j</m:t>
            </m:r>
          </m:sup>
        </m:sSubSup>
        <m:r>
          <w:rPr>
            <w:rFonts w:ascii="Cambria Math" w:hAnsi="Cambria Math"/>
          </w:rPr>
          <m:t>},</m:t>
        </m:r>
        <m:sSubSup>
          <m:sSubSupPr>
            <m:ctrlPr>
              <w:rPr>
                <w:rFonts w:ascii="Cambria Math" w:hAnsi="Cambria Math"/>
                <w:i/>
              </w:rPr>
            </m:ctrlPr>
          </m:sSubSupPr>
          <m:e>
            <m:r>
              <w:rPr>
                <w:rFonts w:ascii="Cambria Math" w:hAnsi="Cambria Math"/>
              </w:rPr>
              <m:t>{η</m:t>
            </m:r>
          </m:e>
          <m:sub>
            <m:sSub>
              <m:sSubPr>
                <m:ctrlPr>
                  <w:rPr>
                    <w:rFonts w:ascii="Cambria Math" w:hAnsi="Cambria Math"/>
                    <w:i/>
                  </w:rPr>
                </m:ctrlPr>
              </m:sSubPr>
              <m:e>
                <m:r>
                  <w:rPr>
                    <w:rFonts w:ascii="Cambria Math" w:hAnsi="Cambria Math"/>
                  </w:rPr>
                  <m:t>k</m:t>
                </m:r>
              </m:e>
              <m:sub>
                <m:r>
                  <w:rPr>
                    <w:rFonts w:ascii="Cambria Math" w:hAnsi="Cambria Math"/>
                  </w:rPr>
                  <m:t>el</m:t>
                </m:r>
              </m:sub>
            </m:sSub>
          </m:sub>
          <m:sup>
            <m:r>
              <w:rPr>
                <w:rFonts w:ascii="Cambria Math" w:hAnsi="Cambria Math"/>
              </w:rPr>
              <m:t>j</m:t>
            </m:r>
          </m:sup>
        </m:sSubSup>
      </m:oMath>
      <w:r>
        <w:t xml:space="preserve">}. The population-level parameter estimates are given in Table </w:t>
      </w:r>
      <w:r w:rsidR="00744363">
        <w:t>S</w:t>
      </w:r>
      <w:r>
        <w:t xml:space="preserve">1. To account for uncertainty in the individual parameter estimates for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k</m:t>
            </m:r>
          </m:e>
          <m:sub>
            <m:r>
              <w:rPr>
                <w:rFonts w:ascii="Cambria Math" w:hAnsi="Cambria Math"/>
              </w:rPr>
              <m:t>el</m:t>
            </m:r>
          </m:sub>
        </m:sSub>
      </m:oMath>
      <w:r>
        <w:t xml:space="preserve"> given the population estimates and the sparse individual data, we estimated 1000 parameter sets from the </w:t>
      </w:r>
      <w:r>
        <w:lastRenderedPageBreak/>
        <w:t>posterior parameter distribution of each patient. We then reported the histogram of the 41000 estimates for half-life (</w:t>
      </w:r>
      <m:oMath>
        <m:sSub>
          <m:sSubPr>
            <m:ctrlPr>
              <w:rPr>
                <w:rFonts w:ascii="Cambria Math" w:hAnsi="Cambria Math"/>
                <w:i/>
              </w:rPr>
            </m:ctrlPr>
          </m:sSubPr>
          <m:e>
            <m:r>
              <w:rPr>
                <w:rFonts w:ascii="Cambria Math" w:hAnsi="Cambria Math"/>
              </w:rPr>
              <m:t>τ</m:t>
            </m:r>
          </m:e>
          <m:sub>
            <m:r>
              <w:rPr>
                <w:rFonts w:ascii="Cambria Math" w:hAnsi="Cambria Math"/>
              </w:rPr>
              <m:t>1/2</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sSub>
              <m:sSubPr>
                <m:ctrlPr>
                  <w:rPr>
                    <w:rFonts w:ascii="Cambria Math" w:hAnsi="Cambria Math"/>
                    <w:i/>
                  </w:rPr>
                </m:ctrlPr>
              </m:sSubPr>
              <m:e>
                <m:r>
                  <w:rPr>
                    <w:rFonts w:ascii="Cambria Math" w:hAnsi="Cambria Math"/>
                  </w:rPr>
                  <m:t>k</m:t>
                </m:r>
              </m:e>
              <m:sub>
                <m:r>
                  <w:rPr>
                    <w:rFonts w:ascii="Cambria Math" w:hAnsi="Cambria Math"/>
                  </w:rPr>
                  <m:t>el</m:t>
                </m:r>
              </m:sub>
            </m:sSub>
          </m:den>
        </m:f>
      </m:oMath>
      <w:r>
        <w:t>) in Fig 1.</w:t>
      </w:r>
    </w:p>
    <w:p w14:paraId="0C7D45F5" w14:textId="0A65BECE" w:rsidR="00744363" w:rsidRDefault="00744363" w:rsidP="000B12FC">
      <w:pPr>
        <w:pStyle w:val="Teaser"/>
        <w:spacing w:line="259" w:lineRule="auto"/>
      </w:pPr>
      <w:r>
        <w:tab/>
        <w:t>We also performed a Visual Predictive Check</w:t>
      </w:r>
      <w:r w:rsidR="00AE3A08">
        <w:t xml:space="preserve"> (VPC)</w:t>
      </w:r>
      <w:r>
        <w:t xml:space="preserve">, a graphical tool that assesses how well a MEM captures both the central tendency as well as the population variability in the observed data. Figure S2 shows the VPC for the single exponential model, which we determined to be adequate. </w:t>
      </w:r>
    </w:p>
    <w:p w14:paraId="1162A5CB" w14:textId="4411F7D4" w:rsidR="000B12FC" w:rsidRPr="00541CD3" w:rsidRDefault="000B12FC" w:rsidP="000B12FC">
      <w:pPr>
        <w:pStyle w:val="Teaser"/>
        <w:spacing w:line="259" w:lineRule="auto"/>
        <w:ind w:firstLine="720"/>
      </w:pPr>
      <w:r>
        <w:t xml:space="preserve">To estimate the loss of sensitivity across the population over time, we simply calculated the time for each patient to decay to the limit of sensitivity </w:t>
      </w:r>
      <m:oMath>
        <m:r>
          <w:rPr>
            <w:rFonts w:ascii="Cambria Math" w:hAnsi="Cambria Math"/>
          </w:rPr>
          <m:t>LOS</m:t>
        </m:r>
      </m:oMath>
      <w:r>
        <w:t xml:space="preserve"> reported in Dan et al (LOS=20 for PSVNT): </w:t>
      </w:r>
      <m:oMath>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k</m:t>
                </m:r>
              </m:e>
              <m:sub>
                <m:r>
                  <w:rPr>
                    <w:rFonts w:ascii="Cambria Math" w:hAnsi="Cambria Math"/>
                  </w:rPr>
                  <m:t>el</m:t>
                </m:r>
              </m:sub>
              <m:sup>
                <m:r>
                  <w:rPr>
                    <w:rFonts w:ascii="Cambria Math" w:hAnsi="Cambria Math"/>
                  </w:rPr>
                  <m:t>j</m:t>
                </m:r>
              </m:sup>
            </m:sSubSup>
          </m:den>
        </m:f>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LOS</m:t>
                </m:r>
              </m:num>
              <m:den>
                <m:sSubSup>
                  <m:sSubSupPr>
                    <m:ctrlPr>
                      <w:rPr>
                        <w:rFonts w:ascii="Cambria Math" w:hAnsi="Cambria Math"/>
                        <w:i/>
                      </w:rPr>
                    </m:ctrlPr>
                  </m:sSubSupPr>
                  <m:e>
                    <m:r>
                      <w:rPr>
                        <w:rFonts w:ascii="Cambria Math" w:hAnsi="Cambria Math"/>
                      </w:rPr>
                      <m:t>y</m:t>
                    </m:r>
                  </m:e>
                  <m:sub>
                    <m:r>
                      <w:rPr>
                        <w:rFonts w:ascii="Cambria Math" w:hAnsi="Cambria Math"/>
                      </w:rPr>
                      <m:t>0</m:t>
                    </m:r>
                  </m:sub>
                  <m:sup>
                    <m:r>
                      <w:rPr>
                        <w:rFonts w:ascii="Cambria Math" w:hAnsi="Cambria Math"/>
                      </w:rPr>
                      <m:t>j</m:t>
                    </m:r>
                  </m:sup>
                </m:sSubSup>
              </m:den>
            </m:f>
          </m:e>
        </m:func>
      </m:oMath>
      <w:r>
        <w:t>. To test our prediction of loss of sensitivity over time, we used the R (3.5.1) ‘survival’ package (2.42-3) in R</w:t>
      </w:r>
      <w:r w:rsidR="00F0512D">
        <w:t>S</w:t>
      </w:r>
      <w:r>
        <w:t xml:space="preserve">tudio (1.1.456, RStudio, Inc) to generate the empirical distribution of times as well as 90% bootstrapped confidence intervals and overlaid it on the model predictions (Fig 2). </w:t>
      </w:r>
    </w:p>
    <w:p w14:paraId="107F0510" w14:textId="6DB1B2B4" w:rsidR="000B12FC" w:rsidRPr="004B593F" w:rsidRDefault="000B12FC" w:rsidP="000B12FC">
      <w:pPr>
        <w:pStyle w:val="Teaser"/>
        <w:spacing w:line="259" w:lineRule="auto"/>
      </w:pPr>
      <w:r>
        <w:rPr>
          <w:b/>
          <w:bCs/>
        </w:rPr>
        <w:tab/>
      </w:r>
      <w:r>
        <w:t xml:space="preserve">We additionally tested </w:t>
      </w:r>
      <w:r w:rsidR="00BA019B">
        <w:t>the (Wheatley 2021) data set,</w:t>
      </w:r>
      <w:r>
        <w:t xml:space="preserve"> for which a bi-exponential model was reported, and found that </w:t>
      </w:r>
      <w:r w:rsidR="00BA019B">
        <w:t>the Wheatley</w:t>
      </w:r>
      <w:r>
        <w:t xml:space="preserve"> data did support a bi-exponential model by our methodology, while the single-exponential model was selected over the bi-exponential model for the Dan et al data set</w:t>
      </w:r>
      <w:r w:rsidR="00744363">
        <w:t xml:space="preserve"> </w:t>
      </w:r>
      <w:r w:rsidR="00BA019B">
        <w:t>(See supplementary section: “To Test the Bi-exponential model…”)</w:t>
      </w:r>
      <w:r>
        <w:t xml:space="preserve">. </w:t>
      </w:r>
    </w:p>
    <w:p w14:paraId="2FCEF44E" w14:textId="67CE0DAB" w:rsidR="000B12FC" w:rsidRDefault="000B12FC" w:rsidP="002A5412"/>
    <w:p w14:paraId="00B076E6" w14:textId="6F2DF377" w:rsidR="00744363" w:rsidRDefault="00744363" w:rsidP="00744363">
      <w:pPr>
        <w:pStyle w:val="Heading2"/>
      </w:pPr>
      <w:r>
        <w:t xml:space="preserve">Supplementary </w:t>
      </w:r>
      <w:commentRangeStart w:id="0"/>
      <w:commentRangeStart w:id="1"/>
      <w:r>
        <w:t>Figures</w:t>
      </w:r>
      <w:commentRangeEnd w:id="0"/>
      <w:r>
        <w:rPr>
          <w:rStyle w:val="CommentReference"/>
        </w:rPr>
        <w:commentReference w:id="0"/>
      </w:r>
      <w:r>
        <w:t xml:space="preserve"> and Tables</w:t>
      </w:r>
    </w:p>
    <w:p w14:paraId="50E21949" w14:textId="77777777" w:rsidR="00B75EDE" w:rsidRPr="00B75EDE" w:rsidRDefault="00B75EDE" w:rsidP="00B75EDE"/>
    <w:tbl>
      <w:tblPr>
        <w:tblStyle w:val="TableGrid"/>
        <w:tblW w:w="0" w:type="auto"/>
        <w:tblLook w:val="04A0" w:firstRow="1" w:lastRow="0" w:firstColumn="1" w:lastColumn="0" w:noHBand="0" w:noVBand="1"/>
      </w:tblPr>
      <w:tblGrid>
        <w:gridCol w:w="627"/>
        <w:gridCol w:w="4372"/>
        <w:gridCol w:w="1260"/>
        <w:gridCol w:w="990"/>
        <w:gridCol w:w="1260"/>
        <w:gridCol w:w="836"/>
      </w:tblGrid>
      <w:tr w:rsidR="00744363" w14:paraId="3B6F9BC5" w14:textId="77777777" w:rsidTr="004B593F">
        <w:trPr>
          <w:trHeight w:val="546"/>
        </w:trPr>
        <w:tc>
          <w:tcPr>
            <w:tcW w:w="573" w:type="dxa"/>
          </w:tcPr>
          <w:commentRangeEnd w:id="1"/>
          <w:p w14:paraId="77A91649" w14:textId="044892A2" w:rsidR="00744363" w:rsidRDefault="00744363" w:rsidP="004B593F">
            <w:r>
              <w:rPr>
                <w:rStyle w:val="CommentReference"/>
              </w:rPr>
              <w:commentReference w:id="1"/>
            </w:r>
          </w:p>
        </w:tc>
        <w:tc>
          <w:tcPr>
            <w:tcW w:w="4372" w:type="dxa"/>
            <w:vAlign w:val="bottom"/>
          </w:tcPr>
          <w:p w14:paraId="2CC8D818" w14:textId="77777777" w:rsidR="00744363" w:rsidRPr="004B593F" w:rsidRDefault="00744363" w:rsidP="004B593F">
            <w:pPr>
              <w:rPr>
                <w:b/>
                <w:bCs/>
              </w:rPr>
            </w:pPr>
            <w:r>
              <w:rPr>
                <w:b/>
                <w:bCs/>
              </w:rPr>
              <w:t>Parameter d</w:t>
            </w:r>
            <w:r w:rsidRPr="004B593F">
              <w:rPr>
                <w:b/>
                <w:bCs/>
              </w:rPr>
              <w:t>escription</w:t>
            </w:r>
          </w:p>
        </w:tc>
        <w:tc>
          <w:tcPr>
            <w:tcW w:w="1260" w:type="dxa"/>
            <w:vAlign w:val="bottom"/>
          </w:tcPr>
          <w:p w14:paraId="3016E803" w14:textId="77777777" w:rsidR="00744363" w:rsidRPr="004B593F" w:rsidRDefault="00744363" w:rsidP="004B593F">
            <w:pPr>
              <w:jc w:val="center"/>
              <w:rPr>
                <w:b/>
                <w:bCs/>
              </w:rPr>
            </w:pPr>
            <w:r>
              <w:rPr>
                <w:b/>
                <w:bCs/>
              </w:rPr>
              <w:t>Typical</w:t>
            </w:r>
            <w:r w:rsidRPr="004B593F">
              <w:rPr>
                <w:b/>
                <w:bCs/>
              </w:rPr>
              <w:t xml:space="preserve"> value </w:t>
            </w:r>
            <m:oMath>
              <m:r>
                <m:rPr>
                  <m:sty m:val="bi"/>
                </m:rPr>
                <w:rPr>
                  <w:rFonts w:ascii="Cambria Math" w:hAnsi="Cambria Math"/>
                </w:rPr>
                <m:t>(θ)</m:t>
              </m:r>
            </m:oMath>
          </w:p>
        </w:tc>
        <w:tc>
          <w:tcPr>
            <w:tcW w:w="990" w:type="dxa"/>
            <w:vAlign w:val="bottom"/>
          </w:tcPr>
          <w:p w14:paraId="79CF8604" w14:textId="77777777" w:rsidR="00744363" w:rsidRPr="004B593F" w:rsidRDefault="00744363" w:rsidP="004B593F">
            <w:pPr>
              <w:jc w:val="center"/>
              <w:rPr>
                <w:b/>
                <w:bCs/>
              </w:rPr>
            </w:pPr>
            <w:r w:rsidRPr="004B593F">
              <w:rPr>
                <w:b/>
                <w:bCs/>
              </w:rPr>
              <w:t>RSE%</w:t>
            </w:r>
          </w:p>
        </w:tc>
        <w:tc>
          <w:tcPr>
            <w:tcW w:w="1260" w:type="dxa"/>
            <w:vAlign w:val="bottom"/>
          </w:tcPr>
          <w:p w14:paraId="295539DF" w14:textId="77777777" w:rsidR="00744363" w:rsidRPr="004B593F" w:rsidRDefault="00744363" w:rsidP="004B593F">
            <w:pPr>
              <w:jc w:val="center"/>
              <w:rPr>
                <w:b/>
                <w:bCs/>
              </w:rPr>
            </w:pPr>
            <w:r w:rsidRPr="004B593F">
              <w:rPr>
                <w:b/>
                <w:bCs/>
              </w:rPr>
              <w:t>Pop</w:t>
            </w:r>
            <w:r>
              <w:rPr>
                <w:b/>
                <w:bCs/>
              </w:rPr>
              <w:t>ulation</w:t>
            </w:r>
            <w:r w:rsidRPr="004B593F">
              <w:rPr>
                <w:b/>
                <w:bCs/>
              </w:rPr>
              <w:t xml:space="preserve"> </w:t>
            </w:r>
            <w:r>
              <w:rPr>
                <w:b/>
                <w:bCs/>
              </w:rPr>
              <w:t>SD</w:t>
            </w:r>
            <w:r w:rsidRPr="004B593F">
              <w:rPr>
                <w:b/>
                <w:bCs/>
              </w:rPr>
              <w:t xml:space="preserve"> </w:t>
            </w:r>
            <m:oMath>
              <m:r>
                <m:rPr>
                  <m:sty m:val="bi"/>
                </m:rPr>
                <w:rPr>
                  <w:rFonts w:ascii="Cambria Math" w:hAnsi="Cambria Math"/>
                </w:rPr>
                <m:t>(ω)</m:t>
              </m:r>
            </m:oMath>
          </w:p>
        </w:tc>
        <w:tc>
          <w:tcPr>
            <w:tcW w:w="836" w:type="dxa"/>
            <w:vAlign w:val="bottom"/>
          </w:tcPr>
          <w:p w14:paraId="4599E193" w14:textId="77777777" w:rsidR="00744363" w:rsidRPr="004B593F" w:rsidRDefault="00744363" w:rsidP="004B593F">
            <w:pPr>
              <w:jc w:val="center"/>
              <w:rPr>
                <w:b/>
                <w:bCs/>
              </w:rPr>
            </w:pPr>
            <w:r w:rsidRPr="004B593F">
              <w:rPr>
                <w:b/>
                <w:bCs/>
              </w:rPr>
              <w:t>RSE%</w:t>
            </w:r>
          </w:p>
        </w:tc>
      </w:tr>
      <w:tr w:rsidR="00744363" w14:paraId="0F3A0FFA" w14:textId="77777777" w:rsidTr="004B593F">
        <w:trPr>
          <w:trHeight w:val="350"/>
        </w:trPr>
        <w:tc>
          <w:tcPr>
            <w:tcW w:w="573" w:type="dxa"/>
            <w:vAlign w:val="center"/>
          </w:tcPr>
          <w:p w14:paraId="43B7A677" w14:textId="77777777" w:rsidR="00744363" w:rsidRDefault="00B56CD8" w:rsidP="004B593F">
            <w:pPr>
              <w:jc w:val="center"/>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oMath>
            </m:oMathPara>
          </w:p>
        </w:tc>
        <w:tc>
          <w:tcPr>
            <w:tcW w:w="4372" w:type="dxa"/>
            <w:vAlign w:val="center"/>
          </w:tcPr>
          <w:p w14:paraId="7779EB29" w14:textId="77777777" w:rsidR="00744363" w:rsidRDefault="00744363" w:rsidP="004B593F">
            <w:r>
              <w:t>PSV neutralizing titer at symptom onset</w:t>
            </w:r>
          </w:p>
        </w:tc>
        <w:tc>
          <w:tcPr>
            <w:tcW w:w="1260" w:type="dxa"/>
            <w:vAlign w:val="center"/>
          </w:tcPr>
          <w:p w14:paraId="1B3F6C1F" w14:textId="77777777" w:rsidR="00744363" w:rsidRDefault="00744363" w:rsidP="004B593F">
            <w:pPr>
              <w:jc w:val="center"/>
            </w:pPr>
            <w:r w:rsidRPr="00884FE9">
              <w:t>228.7</w:t>
            </w:r>
          </w:p>
        </w:tc>
        <w:tc>
          <w:tcPr>
            <w:tcW w:w="990" w:type="dxa"/>
            <w:vAlign w:val="center"/>
          </w:tcPr>
          <w:p w14:paraId="6B23AE36" w14:textId="77777777" w:rsidR="00744363" w:rsidRDefault="00744363" w:rsidP="004B593F">
            <w:pPr>
              <w:jc w:val="center"/>
            </w:pPr>
            <w:r w:rsidRPr="00884FE9">
              <w:t>12.2</w:t>
            </w:r>
          </w:p>
        </w:tc>
        <w:tc>
          <w:tcPr>
            <w:tcW w:w="1260" w:type="dxa"/>
            <w:vAlign w:val="center"/>
          </w:tcPr>
          <w:p w14:paraId="52DF3C5C" w14:textId="77777777" w:rsidR="00744363" w:rsidRDefault="00744363" w:rsidP="004B593F">
            <w:pPr>
              <w:jc w:val="center"/>
            </w:pPr>
            <w:r w:rsidRPr="00884FE9">
              <w:t>1.24</w:t>
            </w:r>
          </w:p>
        </w:tc>
        <w:tc>
          <w:tcPr>
            <w:tcW w:w="836" w:type="dxa"/>
            <w:vAlign w:val="center"/>
          </w:tcPr>
          <w:p w14:paraId="591B813E" w14:textId="77777777" w:rsidR="00744363" w:rsidRDefault="00744363" w:rsidP="004B593F">
            <w:pPr>
              <w:jc w:val="center"/>
            </w:pPr>
            <w:r w:rsidRPr="00884FE9">
              <w:t>6.87</w:t>
            </w:r>
          </w:p>
        </w:tc>
      </w:tr>
      <w:tr w:rsidR="00744363" w14:paraId="32216F22" w14:textId="77777777" w:rsidTr="004B593F">
        <w:trPr>
          <w:trHeight w:val="323"/>
        </w:trPr>
        <w:tc>
          <w:tcPr>
            <w:tcW w:w="573" w:type="dxa"/>
            <w:vAlign w:val="center"/>
          </w:tcPr>
          <w:p w14:paraId="4183A53D" w14:textId="77777777" w:rsidR="00744363" w:rsidRDefault="00B56CD8" w:rsidP="004B593F">
            <w:pPr>
              <w:jc w:val="center"/>
            </w:pPr>
            <m:oMathPara>
              <m:oMath>
                <m:sSub>
                  <m:sSubPr>
                    <m:ctrlPr>
                      <w:rPr>
                        <w:rFonts w:ascii="Cambria Math" w:hAnsi="Cambria Math"/>
                        <w:i/>
                      </w:rPr>
                    </m:ctrlPr>
                  </m:sSubPr>
                  <m:e>
                    <m:r>
                      <w:rPr>
                        <w:rFonts w:ascii="Cambria Math" w:hAnsi="Cambria Math"/>
                      </w:rPr>
                      <m:t>k</m:t>
                    </m:r>
                  </m:e>
                  <m:sub>
                    <m:r>
                      <w:rPr>
                        <w:rFonts w:ascii="Cambria Math" w:hAnsi="Cambria Math"/>
                      </w:rPr>
                      <m:t>el</m:t>
                    </m:r>
                  </m:sub>
                </m:sSub>
              </m:oMath>
            </m:oMathPara>
          </w:p>
        </w:tc>
        <w:tc>
          <w:tcPr>
            <w:tcW w:w="4372" w:type="dxa"/>
            <w:vAlign w:val="center"/>
          </w:tcPr>
          <w:p w14:paraId="7266F092" w14:textId="77777777" w:rsidR="00744363" w:rsidRDefault="00744363" w:rsidP="004B593F">
            <w:r>
              <w:t>PSV neutralizing titer elimination rate (1/day)</w:t>
            </w:r>
          </w:p>
        </w:tc>
        <w:tc>
          <w:tcPr>
            <w:tcW w:w="1260" w:type="dxa"/>
            <w:vAlign w:val="center"/>
          </w:tcPr>
          <w:p w14:paraId="722801F4" w14:textId="77777777" w:rsidR="00744363" w:rsidRDefault="00744363" w:rsidP="004B593F">
            <w:pPr>
              <w:jc w:val="center"/>
            </w:pPr>
            <w:r w:rsidRPr="00884FE9">
              <w:t>0.0067</w:t>
            </w:r>
          </w:p>
        </w:tc>
        <w:tc>
          <w:tcPr>
            <w:tcW w:w="990" w:type="dxa"/>
            <w:vAlign w:val="center"/>
          </w:tcPr>
          <w:p w14:paraId="03DFE3A8" w14:textId="77777777" w:rsidR="00744363" w:rsidRDefault="00744363" w:rsidP="004B593F">
            <w:pPr>
              <w:jc w:val="center"/>
            </w:pPr>
            <w:r w:rsidRPr="00884FE9">
              <w:t>11.1</w:t>
            </w:r>
          </w:p>
        </w:tc>
        <w:tc>
          <w:tcPr>
            <w:tcW w:w="1260" w:type="dxa"/>
            <w:vAlign w:val="center"/>
          </w:tcPr>
          <w:p w14:paraId="3F2D5ACE" w14:textId="77777777" w:rsidR="00744363" w:rsidRDefault="00744363" w:rsidP="004B593F">
            <w:pPr>
              <w:jc w:val="center"/>
            </w:pPr>
            <w:r w:rsidRPr="00884FE9">
              <w:t>0.58</w:t>
            </w:r>
          </w:p>
        </w:tc>
        <w:tc>
          <w:tcPr>
            <w:tcW w:w="836" w:type="dxa"/>
            <w:vAlign w:val="center"/>
          </w:tcPr>
          <w:p w14:paraId="4A016235" w14:textId="77777777" w:rsidR="00744363" w:rsidRDefault="00744363" w:rsidP="004B593F">
            <w:pPr>
              <w:jc w:val="center"/>
            </w:pPr>
            <w:r w:rsidRPr="00884FE9">
              <w:t>15.8</w:t>
            </w:r>
          </w:p>
        </w:tc>
      </w:tr>
      <w:tr w:rsidR="00744363" w14:paraId="79AD0479" w14:textId="77777777" w:rsidTr="004B593F">
        <w:trPr>
          <w:trHeight w:val="287"/>
        </w:trPr>
        <w:tc>
          <w:tcPr>
            <w:tcW w:w="573" w:type="dxa"/>
            <w:vAlign w:val="center"/>
          </w:tcPr>
          <w:p w14:paraId="47B14A10" w14:textId="77777777" w:rsidR="00744363" w:rsidRDefault="00744363" w:rsidP="004B593F">
            <w:pPr>
              <w:jc w:val="center"/>
            </w:pPr>
            <w:r>
              <w:t>b</w:t>
            </w:r>
          </w:p>
        </w:tc>
        <w:tc>
          <w:tcPr>
            <w:tcW w:w="4372" w:type="dxa"/>
            <w:vAlign w:val="center"/>
          </w:tcPr>
          <w:p w14:paraId="77731210" w14:textId="77777777" w:rsidR="00744363" w:rsidRDefault="00744363" w:rsidP="004B593F">
            <w:r>
              <w:t>Proportional error scale for PSV</w:t>
            </w:r>
          </w:p>
        </w:tc>
        <w:tc>
          <w:tcPr>
            <w:tcW w:w="1260" w:type="dxa"/>
            <w:vAlign w:val="center"/>
          </w:tcPr>
          <w:p w14:paraId="1488F03E" w14:textId="77777777" w:rsidR="00744363" w:rsidRDefault="00744363" w:rsidP="004B593F">
            <w:pPr>
              <w:jc w:val="center"/>
            </w:pPr>
            <w:r w:rsidRPr="00884FE9">
              <w:t>0.41</w:t>
            </w:r>
          </w:p>
        </w:tc>
        <w:tc>
          <w:tcPr>
            <w:tcW w:w="990" w:type="dxa"/>
            <w:vAlign w:val="center"/>
          </w:tcPr>
          <w:p w14:paraId="64753AE3" w14:textId="77777777" w:rsidR="00744363" w:rsidRDefault="00744363" w:rsidP="004B593F">
            <w:pPr>
              <w:jc w:val="center"/>
            </w:pPr>
            <w:r w:rsidRPr="00884FE9">
              <w:t>9.54</w:t>
            </w:r>
          </w:p>
        </w:tc>
        <w:tc>
          <w:tcPr>
            <w:tcW w:w="1260" w:type="dxa"/>
            <w:shd w:val="clear" w:color="auto" w:fill="BFBFBF" w:themeFill="background1" w:themeFillShade="BF"/>
            <w:vAlign w:val="center"/>
          </w:tcPr>
          <w:p w14:paraId="0060F16F" w14:textId="77777777" w:rsidR="00744363" w:rsidRDefault="00744363" w:rsidP="004B593F">
            <w:pPr>
              <w:jc w:val="center"/>
            </w:pPr>
          </w:p>
        </w:tc>
        <w:tc>
          <w:tcPr>
            <w:tcW w:w="836" w:type="dxa"/>
            <w:shd w:val="clear" w:color="auto" w:fill="BFBFBF" w:themeFill="background1" w:themeFillShade="BF"/>
            <w:vAlign w:val="center"/>
          </w:tcPr>
          <w:p w14:paraId="221AD012" w14:textId="77777777" w:rsidR="00744363" w:rsidRDefault="00744363" w:rsidP="004B593F">
            <w:pPr>
              <w:jc w:val="center"/>
            </w:pPr>
          </w:p>
        </w:tc>
      </w:tr>
    </w:tbl>
    <w:p w14:paraId="567C6628" w14:textId="154ED6AC" w:rsidR="00744363" w:rsidRDefault="00744363" w:rsidP="00744363">
      <w:pPr>
        <w:pStyle w:val="Acknowledgement"/>
        <w:ind w:left="0" w:firstLine="0"/>
        <w:rPr>
          <w:sz w:val="18"/>
          <w:szCs w:val="18"/>
        </w:rPr>
      </w:pPr>
      <w:r w:rsidRPr="53B8BA39">
        <w:rPr>
          <w:b/>
          <w:bCs/>
          <w:sz w:val="20"/>
          <w:szCs w:val="20"/>
        </w:rPr>
        <w:t xml:space="preserve">Table </w:t>
      </w:r>
      <w:r>
        <w:rPr>
          <w:b/>
          <w:bCs/>
          <w:sz w:val="20"/>
          <w:szCs w:val="20"/>
        </w:rPr>
        <w:t>S</w:t>
      </w:r>
      <w:r w:rsidRPr="53B8BA39">
        <w:rPr>
          <w:b/>
          <w:bCs/>
          <w:sz w:val="20"/>
          <w:szCs w:val="20"/>
        </w:rPr>
        <w:t xml:space="preserve">1: </w:t>
      </w:r>
      <w:r w:rsidRPr="53B8BA39">
        <w:rPr>
          <w:sz w:val="20"/>
          <w:szCs w:val="20"/>
        </w:rPr>
        <w:t>Population parameter estimates from MEM.</w:t>
      </w:r>
      <w:r w:rsidRPr="53B8BA39">
        <w:rPr>
          <w:b/>
          <w:bCs/>
          <w:sz w:val="20"/>
          <w:szCs w:val="20"/>
        </w:rPr>
        <w:t xml:space="preserve"> </w:t>
      </w:r>
      <w:r w:rsidRPr="53B8BA39">
        <w:rPr>
          <w:sz w:val="20"/>
          <w:szCs w:val="20"/>
        </w:rPr>
        <w:t xml:space="preserve">RSE = Relative Standard Error. Population </w:t>
      </w:r>
      <w:r>
        <w:rPr>
          <w:sz w:val="20"/>
          <w:szCs w:val="20"/>
        </w:rPr>
        <w:t>standard deviations (</w:t>
      </w:r>
      <w:r w:rsidRPr="53B8BA39">
        <w:rPr>
          <w:sz w:val="20"/>
          <w:szCs w:val="20"/>
        </w:rPr>
        <w:t>SD</w:t>
      </w:r>
      <w:r>
        <w:rPr>
          <w:sz w:val="20"/>
          <w:szCs w:val="20"/>
        </w:rPr>
        <w:t>)</w:t>
      </w:r>
      <w:r w:rsidRPr="53B8BA39">
        <w:rPr>
          <w:sz w:val="20"/>
          <w:szCs w:val="20"/>
        </w:rPr>
        <w:t xml:space="preserve"> are in lognormal space</w:t>
      </w:r>
      <w:r>
        <w:rPr>
          <w:sz w:val="20"/>
          <w:szCs w:val="20"/>
        </w:rPr>
        <w:t xml:space="preserve"> as detailed in the methods</w:t>
      </w:r>
      <w:r w:rsidRPr="53B8BA39">
        <w:rPr>
          <w:sz w:val="20"/>
          <w:szCs w:val="20"/>
        </w:rPr>
        <w:t>; a population SD of 1 corresponds to ~100% variability in the population for that parameter.</w:t>
      </w:r>
      <w:r>
        <w:rPr>
          <w:sz w:val="20"/>
          <w:szCs w:val="20"/>
        </w:rPr>
        <w:t xml:space="preserve"> The RSE values approximate uncertainty in the population parameter estimates (not to be confused with inter-individual variability, which is given by the </w:t>
      </w:r>
      <m:oMath>
        <m:r>
          <w:rPr>
            <w:rFonts w:ascii="Cambria Math" w:hAnsi="Cambria Math"/>
            <w:sz w:val="20"/>
            <w:szCs w:val="20"/>
          </w:rPr>
          <m:t>ω</m:t>
        </m:r>
      </m:oMath>
      <w:r>
        <w:rPr>
          <w:sz w:val="20"/>
          <w:szCs w:val="20"/>
        </w:rPr>
        <w:t xml:space="preserve"> values)</w:t>
      </w:r>
      <w:r>
        <w:t>.</w:t>
      </w:r>
    </w:p>
    <w:p w14:paraId="7D67EBC3" w14:textId="77777777" w:rsidR="00744363" w:rsidRDefault="00744363" w:rsidP="00744363"/>
    <w:p w14:paraId="16CC92E0" w14:textId="77777777" w:rsidR="00744363" w:rsidRDefault="00744363" w:rsidP="00744363"/>
    <w:tbl>
      <w:tblPr>
        <w:tblStyle w:val="TableGrid"/>
        <w:tblW w:w="0" w:type="auto"/>
        <w:tblLook w:val="04A0" w:firstRow="1" w:lastRow="0" w:firstColumn="1" w:lastColumn="0" w:noHBand="0" w:noVBand="1"/>
      </w:tblPr>
      <w:tblGrid>
        <w:gridCol w:w="2515"/>
        <w:gridCol w:w="3330"/>
        <w:gridCol w:w="3505"/>
      </w:tblGrid>
      <w:tr w:rsidR="00923F75" w14:paraId="3E8ED678" w14:textId="77777777" w:rsidTr="00923F75">
        <w:tc>
          <w:tcPr>
            <w:tcW w:w="2515" w:type="dxa"/>
          </w:tcPr>
          <w:p w14:paraId="3FF5B783" w14:textId="54CF1C97" w:rsidR="00923F75" w:rsidRDefault="00923F75" w:rsidP="00923F75">
            <w:pPr>
              <w:jc w:val="right"/>
            </w:pPr>
            <w:r>
              <w:t>Monolix model file</w:t>
            </w:r>
            <w:r w:rsidRPr="00923F75">
              <w:rPr>
                <w:rFonts w:ascii="Wingdings" w:eastAsia="Wingdings" w:hAnsi="Wingdings" w:cs="Wingdings"/>
              </w:rPr>
              <w:t>à</w:t>
            </w:r>
          </w:p>
        </w:tc>
        <w:tc>
          <w:tcPr>
            <w:tcW w:w="3330" w:type="dxa"/>
          </w:tcPr>
          <w:p w14:paraId="508E04AA" w14:textId="6433B00E" w:rsidR="00923F75" w:rsidRPr="00923F75" w:rsidRDefault="00923F75" w:rsidP="00923F75">
            <w:pPr>
              <w:jc w:val="center"/>
              <w:rPr>
                <w:rFonts w:eastAsiaTheme="minorEastAsia"/>
                <w:sz w:val="24"/>
                <w:szCs w:val="24"/>
              </w:rPr>
            </w:pPr>
            <w:r>
              <w:rPr>
                <w:rFonts w:eastAsiaTheme="minorEastAsia"/>
                <w:sz w:val="24"/>
                <w:szCs w:val="24"/>
              </w:rPr>
              <w:t>M01_single_exponential.txt</w:t>
            </w:r>
          </w:p>
        </w:tc>
        <w:tc>
          <w:tcPr>
            <w:tcW w:w="3505" w:type="dxa"/>
          </w:tcPr>
          <w:p w14:paraId="7355D30F" w14:textId="0DAFDAA7" w:rsidR="00923F75" w:rsidRDefault="00923F75" w:rsidP="00923F75">
            <w:pPr>
              <w:jc w:val="center"/>
              <w:rPr>
                <w:rFonts w:eastAsiaTheme="minorEastAsia"/>
              </w:rPr>
            </w:pPr>
            <w:r>
              <w:rPr>
                <w:rFonts w:eastAsiaTheme="minorEastAsia"/>
              </w:rPr>
              <w:t>M04_piecewise_2_decay.txt</w:t>
            </w:r>
          </w:p>
        </w:tc>
      </w:tr>
      <w:tr w:rsidR="00BA019B" w14:paraId="1ABD9730" w14:textId="77777777" w:rsidTr="00923F75">
        <w:tc>
          <w:tcPr>
            <w:tcW w:w="2515" w:type="dxa"/>
            <w:vAlign w:val="bottom"/>
          </w:tcPr>
          <w:p w14:paraId="58132DF6" w14:textId="57C71D81" w:rsidR="00BA019B" w:rsidRDefault="00923F75" w:rsidP="00923F75">
            <w:r>
              <w:t>Data set</w:t>
            </w:r>
          </w:p>
        </w:tc>
        <w:tc>
          <w:tcPr>
            <w:tcW w:w="3330" w:type="dxa"/>
            <w:vAlign w:val="center"/>
          </w:tcPr>
          <w:p w14:paraId="72D72A81" w14:textId="5E23D59F" w:rsidR="00BA019B" w:rsidRDefault="00BA019B" w:rsidP="00923F75">
            <w:pPr>
              <w:jc w:val="center"/>
            </w:pPr>
            <m:oMathPara>
              <m:oMath>
                <m:r>
                  <w:rPr>
                    <w:rFonts w:ascii="Cambria Math" w:hAnsi="Cambria Math"/>
                    <w:sz w:val="24"/>
                    <w:szCs w:val="24"/>
                  </w:rPr>
                  <m:t>y(t)=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0</m:t>
                    </m:r>
                  </m:sub>
                </m:sSub>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el</m:t>
                        </m:r>
                      </m:sub>
                    </m:sSub>
                    <m:r>
                      <w:rPr>
                        <w:rFonts w:ascii="Cambria Math" w:hAnsi="Cambria Math"/>
                        <w:sz w:val="24"/>
                        <w:szCs w:val="24"/>
                      </w:rPr>
                      <m:t>t</m:t>
                    </m:r>
                  </m:sup>
                </m:sSup>
              </m:oMath>
            </m:oMathPara>
          </w:p>
        </w:tc>
        <w:tc>
          <w:tcPr>
            <w:tcW w:w="3505" w:type="dxa"/>
            <w:vAlign w:val="center"/>
          </w:tcPr>
          <w:p w14:paraId="43868588" w14:textId="024FCCB6" w:rsidR="00BA019B" w:rsidRDefault="00923F75" w:rsidP="00923F75">
            <w:pPr>
              <w:jc w:val="center"/>
            </w:pPr>
            <m:oMathPara>
              <m:oMath>
                <m:r>
                  <w:rPr>
                    <w:rFonts w:ascii="Cambria Math" w:hAnsi="Cambria Math"/>
                  </w:rPr>
                  <m:t>y(t)=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0</m:t>
                              </m:r>
                            </m:sub>
                          </m:sSub>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r>
                                    <w:rPr>
                                      <w:rFonts w:ascii="Cambria Math" w:hAnsi="Cambria Math"/>
                                    </w:rPr>
                                    <m:t>-k</m:t>
                                  </m:r>
                                </m:e>
                                <m:sub>
                                  <m:r>
                                    <w:rPr>
                                      <w:rFonts w:ascii="Cambria Math" w:hAnsi="Cambria Math"/>
                                    </w:rPr>
                                    <m:t>1</m:t>
                                  </m:r>
                                </m:sub>
                                <m:sup>
                                  <m:r>
                                    <w:rPr>
                                      <w:rFonts w:ascii="Cambria Math" w:hAnsi="Cambria Math"/>
                                    </w:rPr>
                                    <m:t>el</m:t>
                                  </m:r>
                                </m:sup>
                              </m:sSubSup>
                              <m:r>
                                <w:rPr>
                                  <w:rFonts w:ascii="Cambria Math" w:hAnsi="Cambria Math"/>
                                </w:rPr>
                                <m:t>t</m:t>
                              </m:r>
                            </m:sup>
                          </m:sSup>
                        </m:e>
                        <m:e>
                          <m:r>
                            <w:rPr>
                              <w:rFonts w:ascii="Cambria Math" w:hAnsi="Cambria Math"/>
                            </w:rPr>
                            <m:t>, t≤</m:t>
                          </m:r>
                          <m:sSub>
                            <m:sSubPr>
                              <m:ctrlPr>
                                <w:rPr>
                                  <w:rFonts w:ascii="Cambria Math" w:hAnsi="Cambria Math"/>
                                  <w:i/>
                                </w:rPr>
                              </m:ctrlPr>
                            </m:sSubPr>
                            <m:e>
                              <m:r>
                                <w:rPr>
                                  <w:rFonts w:ascii="Cambria Math" w:hAnsi="Cambria Math"/>
                                </w:rPr>
                                <m:t>T</m:t>
                              </m:r>
                            </m:e>
                            <m:sub>
                              <m:r>
                                <w:rPr>
                                  <w:rFonts w:ascii="Cambria Math" w:hAnsi="Cambria Math"/>
                                </w:rPr>
                                <m:t>0</m:t>
                              </m:r>
                            </m:sub>
                          </m:sSub>
                        </m:e>
                      </m:mr>
                      <m:mr>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Sup>
                            <m:sSupPr>
                              <m:ctrlPr>
                                <w:rPr>
                                  <w:rFonts w:ascii="Cambria Math" w:hAnsi="Cambria Math"/>
                                  <w:i/>
                                </w:rPr>
                              </m:ctrlPr>
                            </m:sSupPr>
                            <m:e>
                              <m:r>
                                <w:rPr>
                                  <w:rFonts w:ascii="Cambria Math" w:hAnsi="Cambria Math"/>
                                </w:rPr>
                                <m:t>e</m:t>
                              </m:r>
                            </m:e>
                            <m: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el</m:t>
                                  </m:r>
                                </m:sub>
                                <m:sup>
                                  <m:r>
                                    <w:rPr>
                                      <w:rFonts w:ascii="Cambria Math" w:hAnsi="Cambria Math"/>
                                    </w:rPr>
                                    <m:t>2</m:t>
                                  </m:r>
                                </m:sup>
                              </m:sSubSup>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up>
                          </m:sSup>
                        </m:e>
                        <m:e>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0</m:t>
                              </m:r>
                            </m:sub>
                          </m:sSub>
                        </m:e>
                      </m:mr>
                    </m:m>
                  </m:e>
                </m:d>
              </m:oMath>
            </m:oMathPara>
          </w:p>
        </w:tc>
      </w:tr>
      <w:tr w:rsidR="00BA019B" w14:paraId="0F9EDAE1" w14:textId="77777777" w:rsidTr="00923F75">
        <w:tc>
          <w:tcPr>
            <w:tcW w:w="2515" w:type="dxa"/>
          </w:tcPr>
          <w:p w14:paraId="765DCBAD" w14:textId="02D76790" w:rsidR="00BA019B" w:rsidRDefault="00BA019B" w:rsidP="00744363">
            <w:r>
              <w:t>Dan dataset (N=41)</w:t>
            </w:r>
          </w:p>
        </w:tc>
        <w:tc>
          <w:tcPr>
            <w:tcW w:w="3330" w:type="dxa"/>
            <w:vAlign w:val="center"/>
          </w:tcPr>
          <w:p w14:paraId="075B9161" w14:textId="463F0F54" w:rsidR="00BA019B" w:rsidRPr="00B75EDE" w:rsidRDefault="00B75EDE" w:rsidP="00923F75">
            <w:pPr>
              <w:jc w:val="center"/>
              <w:rPr>
                <w:b/>
                <w:bCs/>
              </w:rPr>
            </w:pPr>
            <w:r w:rsidRPr="00B75EDE">
              <w:rPr>
                <w:b/>
                <w:bCs/>
              </w:rPr>
              <w:t>1184.27</w:t>
            </w:r>
          </w:p>
        </w:tc>
        <w:tc>
          <w:tcPr>
            <w:tcW w:w="3505" w:type="dxa"/>
            <w:vAlign w:val="center"/>
          </w:tcPr>
          <w:p w14:paraId="5EE4EE82" w14:textId="7FE70290" w:rsidR="00BA019B" w:rsidRDefault="00923F75" w:rsidP="00923F75">
            <w:pPr>
              <w:jc w:val="center"/>
            </w:pPr>
            <w:r w:rsidRPr="00923F75">
              <w:t>1185.92</w:t>
            </w:r>
          </w:p>
        </w:tc>
      </w:tr>
      <w:tr w:rsidR="00BA019B" w14:paraId="3DDD716F" w14:textId="77777777" w:rsidTr="00923F75">
        <w:tc>
          <w:tcPr>
            <w:tcW w:w="2515" w:type="dxa"/>
          </w:tcPr>
          <w:p w14:paraId="5C3FA18F" w14:textId="4D103BEA" w:rsidR="00BA019B" w:rsidRDefault="00BA019B" w:rsidP="00744363">
            <w:r>
              <w:t>Wheatley dataset (N=64)</w:t>
            </w:r>
          </w:p>
        </w:tc>
        <w:tc>
          <w:tcPr>
            <w:tcW w:w="3330" w:type="dxa"/>
            <w:vAlign w:val="center"/>
          </w:tcPr>
          <w:p w14:paraId="1025D128" w14:textId="7B1D963D" w:rsidR="00BA019B" w:rsidRDefault="00B75EDE" w:rsidP="00923F75">
            <w:pPr>
              <w:jc w:val="center"/>
            </w:pPr>
            <w:r w:rsidRPr="00B75EDE">
              <w:t>3216.14</w:t>
            </w:r>
          </w:p>
        </w:tc>
        <w:tc>
          <w:tcPr>
            <w:tcW w:w="3505" w:type="dxa"/>
            <w:vAlign w:val="center"/>
          </w:tcPr>
          <w:p w14:paraId="15D595B8" w14:textId="78A58FB7" w:rsidR="00BA019B" w:rsidRPr="00B75EDE" w:rsidRDefault="00B75EDE" w:rsidP="00923F75">
            <w:pPr>
              <w:jc w:val="center"/>
              <w:rPr>
                <w:b/>
                <w:bCs/>
              </w:rPr>
            </w:pPr>
            <w:r w:rsidRPr="00B75EDE">
              <w:rPr>
                <w:b/>
                <w:bCs/>
              </w:rPr>
              <w:t>3154.02</w:t>
            </w:r>
          </w:p>
        </w:tc>
      </w:tr>
    </w:tbl>
    <w:p w14:paraId="412B58BE" w14:textId="1B3B49A4" w:rsidR="00744363" w:rsidRPr="00B75EDE" w:rsidRDefault="00B75EDE" w:rsidP="00B75EDE">
      <w:pPr>
        <w:pStyle w:val="Acknowledgement"/>
        <w:ind w:left="0" w:firstLine="0"/>
        <w:rPr>
          <w:sz w:val="20"/>
          <w:szCs w:val="20"/>
        </w:rPr>
      </w:pPr>
      <w:r w:rsidRPr="00B75EDE">
        <w:rPr>
          <w:b/>
          <w:bCs/>
          <w:sz w:val="20"/>
          <w:szCs w:val="20"/>
        </w:rPr>
        <w:t>Table S2:</w:t>
      </w:r>
      <w:r w:rsidRPr="00B75EDE">
        <w:rPr>
          <w:sz w:val="20"/>
          <w:szCs w:val="20"/>
        </w:rPr>
        <w:t xml:space="preserve"> Comparison of single exponential (M01) and piecewise 2-exponential (M04) models on the Dan and Wheatley data sets. The numbers in the table are the Importance Sampling approximated Corrected Bayes Information Criteria (BICc) scores. As BICc penalizes for additional complexity, the better model in each row is the one with the lower BICc score (bold). Note that the models can be nested (making BICc comparison appropriate) by setting T</w:t>
      </w:r>
      <w:r w:rsidRPr="00B75EDE">
        <w:rPr>
          <w:sz w:val="20"/>
          <w:szCs w:val="20"/>
          <w:vertAlign w:val="subscript"/>
        </w:rPr>
        <w:t>0</w:t>
      </w:r>
      <w:r w:rsidRPr="00B75EDE">
        <w:rPr>
          <w:sz w:val="20"/>
          <w:szCs w:val="20"/>
        </w:rPr>
        <w:t xml:space="preserve"> sufficiently large. We believe the more complex model was selected for the Wheatley data set because more of those patients had at least 3 time points compared to the Dan data set. </w:t>
      </w:r>
    </w:p>
    <w:p w14:paraId="44525C79" w14:textId="36F841CC" w:rsidR="00744363" w:rsidRDefault="00744363" w:rsidP="00744363">
      <w:pPr>
        <w:pStyle w:val="Heading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
        <w:gridCol w:w="8780"/>
      </w:tblGrid>
      <w:tr w:rsidR="008D1141" w14:paraId="1C08B9D4" w14:textId="77777777" w:rsidTr="00125322">
        <w:trPr>
          <w:cantSplit/>
          <w:trHeight w:val="1134"/>
        </w:trPr>
        <w:tc>
          <w:tcPr>
            <w:tcW w:w="4675" w:type="dxa"/>
            <w:textDirection w:val="btLr"/>
            <w:vAlign w:val="center"/>
          </w:tcPr>
          <w:p w14:paraId="7462C48F" w14:textId="07127C07" w:rsidR="008D1141" w:rsidRDefault="008D1141" w:rsidP="008D1141">
            <w:pPr>
              <w:pStyle w:val="Acknowledgement"/>
              <w:ind w:left="113" w:right="113" w:firstLine="0"/>
              <w:jc w:val="center"/>
              <w:rPr>
                <w:b/>
                <w:bCs/>
              </w:rPr>
            </w:pPr>
            <w:r>
              <w:rPr>
                <w:b/>
                <w:bCs/>
              </w:rPr>
              <w:t>PSV neutralizing titer</w:t>
            </w:r>
          </w:p>
        </w:tc>
        <w:tc>
          <w:tcPr>
            <w:tcW w:w="4675" w:type="dxa"/>
          </w:tcPr>
          <w:p w14:paraId="0C1BA800" w14:textId="619DE6B0" w:rsidR="008D1141" w:rsidRDefault="008D1141" w:rsidP="00744363">
            <w:pPr>
              <w:pStyle w:val="Acknowledgement"/>
              <w:ind w:left="0" w:firstLine="0"/>
              <w:rPr>
                <w:b/>
                <w:bCs/>
              </w:rPr>
            </w:pPr>
            <w:r>
              <w:rPr>
                <w:noProof/>
              </w:rPr>
              <w:drawing>
                <wp:inline distT="0" distB="0" distL="0" distR="0" wp14:anchorId="01A7CCF3" wp14:editId="7B4F6AA1">
                  <wp:extent cx="5774690" cy="548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2728" b="7584"/>
                          <a:stretch/>
                        </pic:blipFill>
                        <pic:spPr bwMode="auto">
                          <a:xfrm>
                            <a:off x="0" y="0"/>
                            <a:ext cx="5774690" cy="54864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D1141" w14:paraId="29CF5086" w14:textId="77777777" w:rsidTr="00125322">
        <w:tc>
          <w:tcPr>
            <w:tcW w:w="4675" w:type="dxa"/>
          </w:tcPr>
          <w:p w14:paraId="15CDCBD7" w14:textId="77777777" w:rsidR="008D1141" w:rsidRDefault="008D1141" w:rsidP="00744363">
            <w:pPr>
              <w:pStyle w:val="Acknowledgement"/>
              <w:ind w:left="0" w:firstLine="0"/>
              <w:rPr>
                <w:b/>
                <w:bCs/>
              </w:rPr>
            </w:pPr>
          </w:p>
        </w:tc>
        <w:tc>
          <w:tcPr>
            <w:tcW w:w="4675" w:type="dxa"/>
          </w:tcPr>
          <w:p w14:paraId="1311B812" w14:textId="73F0E9C8" w:rsidR="008D1141" w:rsidRDefault="008D1141" w:rsidP="008D1141">
            <w:pPr>
              <w:pStyle w:val="Acknowledgement"/>
              <w:ind w:left="0" w:firstLine="0"/>
              <w:jc w:val="center"/>
              <w:rPr>
                <w:b/>
                <w:bCs/>
              </w:rPr>
            </w:pPr>
            <w:r>
              <w:rPr>
                <w:b/>
                <w:bCs/>
              </w:rPr>
              <w:t>Days post symptom onset</w:t>
            </w:r>
          </w:p>
        </w:tc>
      </w:tr>
    </w:tbl>
    <w:p w14:paraId="26B27775" w14:textId="77777777" w:rsidR="00744363" w:rsidRDefault="00744363" w:rsidP="00744363">
      <w:pPr>
        <w:pStyle w:val="Acknowledgement"/>
        <w:ind w:left="0" w:firstLine="0"/>
        <w:rPr>
          <w:b/>
          <w:bCs/>
        </w:rPr>
      </w:pPr>
    </w:p>
    <w:p w14:paraId="279D93C1" w14:textId="6E50E7D6" w:rsidR="00744363" w:rsidRDefault="00744363" w:rsidP="00744363">
      <w:pPr>
        <w:pStyle w:val="Acknowledgement"/>
        <w:ind w:left="0" w:firstLine="0"/>
        <w:rPr>
          <w:b/>
          <w:bCs/>
          <w:sz w:val="20"/>
          <w:szCs w:val="20"/>
        </w:rPr>
      </w:pPr>
    </w:p>
    <w:p w14:paraId="633A1B31" w14:textId="0E6FFFD0" w:rsidR="00744363" w:rsidRDefault="00744363" w:rsidP="00744363">
      <w:r w:rsidRPr="53B8BA39">
        <w:rPr>
          <w:b/>
          <w:bCs/>
        </w:rPr>
        <w:t>Figure S1</w:t>
      </w:r>
      <w:r w:rsidRPr="53B8BA39">
        <w:t xml:space="preserve">: PSV </w:t>
      </w:r>
      <w:r>
        <w:t xml:space="preserve">neutralizing </w:t>
      </w:r>
      <w:r w:rsidRPr="53B8BA39">
        <w:t xml:space="preserve">titer </w:t>
      </w:r>
      <w:r>
        <w:t xml:space="preserve">(PSVNT) </w:t>
      </w:r>
      <w:r w:rsidRPr="53B8BA39">
        <w:t>data used in the analysis. Below</w:t>
      </w:r>
      <w:r w:rsidR="00B75EDE">
        <w:t xml:space="preserve"> lower</w:t>
      </w:r>
      <w:r w:rsidRPr="53B8BA39">
        <w:t xml:space="preserve"> limit of quantification data (</w:t>
      </w:r>
      <w:r w:rsidR="00B75EDE">
        <w:t>L</w:t>
      </w:r>
      <w:r w:rsidRPr="53B8BA39">
        <w:t xml:space="preserve">LOQ = 20) are shown as red dots. Data points from the same patient are joined with a blue line. Time is in days. </w:t>
      </w:r>
      <w:r>
        <w:t xml:space="preserve">Only the 41 patients with at least two distinct time points for PSVNT were included in the MEM analysis. (raw data in supplementary </w:t>
      </w:r>
      <w:r w:rsidR="00BA019B">
        <w:t>files</w:t>
      </w:r>
      <w:r w:rsidR="00B75EDE">
        <w:t xml:space="preserve"> – Below limit of quantification (BLOQ) data is indicated by the CENS column in the raw data set, which triggers Monolix to use the M3 method (Beal)</w:t>
      </w:r>
      <w:r>
        <w:t>)</w:t>
      </w:r>
    </w:p>
    <w:p w14:paraId="08B29F4C" w14:textId="4795D4B1" w:rsidR="00BA019B" w:rsidRDefault="00BA019B" w:rsidP="00744363"/>
    <w:p w14:paraId="5A0D58F9" w14:textId="77777777" w:rsidR="00BA019B" w:rsidRDefault="00BA019B" w:rsidP="00744363"/>
    <w:p w14:paraId="47321CF6" w14:textId="5A5DF099" w:rsidR="00744363" w:rsidRDefault="00744363" w:rsidP="00744363">
      <w:pPr>
        <w:pStyle w:val="Acknowledgement"/>
        <w:ind w:left="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8784"/>
      </w:tblGrid>
      <w:tr w:rsidR="008D1141" w14:paraId="062066A5" w14:textId="77777777" w:rsidTr="00125322">
        <w:trPr>
          <w:cantSplit/>
          <w:trHeight w:val="1134"/>
        </w:trPr>
        <w:tc>
          <w:tcPr>
            <w:tcW w:w="4675" w:type="dxa"/>
            <w:textDirection w:val="btLr"/>
            <w:vAlign w:val="center"/>
          </w:tcPr>
          <w:p w14:paraId="2F3B29C1" w14:textId="22C8AF37" w:rsidR="008D1141" w:rsidRDefault="008D1141" w:rsidP="008D1141">
            <w:pPr>
              <w:pStyle w:val="Acknowledgement"/>
              <w:ind w:left="113" w:right="113" w:firstLine="0"/>
              <w:jc w:val="center"/>
            </w:pPr>
            <w:r>
              <w:lastRenderedPageBreak/>
              <w:t>PSV neutralizing titer</w:t>
            </w:r>
          </w:p>
        </w:tc>
        <w:tc>
          <w:tcPr>
            <w:tcW w:w="4675" w:type="dxa"/>
          </w:tcPr>
          <w:p w14:paraId="0BBDA99B" w14:textId="1FAD4D19" w:rsidR="008D1141" w:rsidRDefault="008D1141" w:rsidP="00744363">
            <w:pPr>
              <w:pStyle w:val="Acknowledgement"/>
              <w:ind w:left="0" w:firstLine="0"/>
            </w:pPr>
            <w:r>
              <w:rPr>
                <w:noProof/>
              </w:rPr>
              <w:drawing>
                <wp:inline distT="0" distB="0" distL="0" distR="0" wp14:anchorId="56738987" wp14:editId="3D93FFC8">
                  <wp:extent cx="5819775" cy="5495925"/>
                  <wp:effectExtent l="0" t="0" r="9525" b="9525"/>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rotWithShape="1">
                          <a:blip r:embed="rId12">
                            <a:extLst>
                              <a:ext uri="{28A0092B-C50C-407E-A947-70E740481C1C}">
                                <a14:useLocalDpi xmlns:a14="http://schemas.microsoft.com/office/drawing/2010/main" val="0"/>
                              </a:ext>
                            </a:extLst>
                          </a:blip>
                          <a:srcRect l="2084" b="7532"/>
                          <a:stretch/>
                        </pic:blipFill>
                        <pic:spPr bwMode="auto">
                          <a:xfrm>
                            <a:off x="0" y="0"/>
                            <a:ext cx="5819775" cy="5495925"/>
                          </a:xfrm>
                          <a:prstGeom prst="rect">
                            <a:avLst/>
                          </a:prstGeom>
                          <a:ln>
                            <a:noFill/>
                          </a:ln>
                          <a:extLst>
                            <a:ext uri="{53640926-AAD7-44D8-BBD7-CCE9431645EC}">
                              <a14:shadowObscured xmlns:a14="http://schemas.microsoft.com/office/drawing/2010/main"/>
                            </a:ext>
                          </a:extLst>
                        </pic:spPr>
                      </pic:pic>
                    </a:graphicData>
                  </a:graphic>
                </wp:inline>
              </w:drawing>
            </w:r>
          </w:p>
        </w:tc>
      </w:tr>
      <w:tr w:rsidR="008D1141" w14:paraId="4725E742" w14:textId="77777777" w:rsidTr="00125322">
        <w:tc>
          <w:tcPr>
            <w:tcW w:w="4675" w:type="dxa"/>
          </w:tcPr>
          <w:p w14:paraId="240E786C" w14:textId="77777777" w:rsidR="008D1141" w:rsidRDefault="008D1141" w:rsidP="00744363">
            <w:pPr>
              <w:pStyle w:val="Acknowledgement"/>
              <w:ind w:left="0" w:firstLine="0"/>
            </w:pPr>
          </w:p>
        </w:tc>
        <w:tc>
          <w:tcPr>
            <w:tcW w:w="4675" w:type="dxa"/>
            <w:vAlign w:val="center"/>
          </w:tcPr>
          <w:p w14:paraId="5A2E8EB7" w14:textId="3A4B94EC" w:rsidR="008D1141" w:rsidRDefault="008D1141" w:rsidP="008D1141">
            <w:pPr>
              <w:pStyle w:val="Acknowledgement"/>
              <w:ind w:left="0" w:firstLine="0"/>
              <w:jc w:val="center"/>
            </w:pPr>
            <w:r>
              <w:t>Days post symptom onset</w:t>
            </w:r>
          </w:p>
        </w:tc>
      </w:tr>
    </w:tbl>
    <w:p w14:paraId="15C5D2AC" w14:textId="77777777" w:rsidR="008D1141" w:rsidRDefault="008D1141" w:rsidP="00744363">
      <w:pPr>
        <w:pStyle w:val="Acknowledgement"/>
        <w:ind w:left="0" w:firstLine="0"/>
      </w:pPr>
    </w:p>
    <w:p w14:paraId="688DF45D" w14:textId="77777777" w:rsidR="00744363" w:rsidRPr="00A02D1B" w:rsidRDefault="00744363" w:rsidP="00744363">
      <w:pPr>
        <w:pStyle w:val="Caption"/>
        <w:rPr>
          <w:rFonts w:ascii="Times New Roman" w:eastAsia="Times New Roman" w:hAnsi="Times New Roman" w:cs="Times New Roman"/>
          <w:i w:val="0"/>
          <w:iCs w:val="0"/>
          <w:color w:val="auto"/>
          <w:sz w:val="20"/>
          <w:szCs w:val="20"/>
        </w:rPr>
      </w:pPr>
      <w:r w:rsidRPr="53B8BA39">
        <w:rPr>
          <w:rFonts w:ascii="Times New Roman" w:eastAsia="Times New Roman" w:hAnsi="Times New Roman" w:cs="Times New Roman"/>
          <w:b/>
          <w:bCs/>
          <w:i w:val="0"/>
          <w:iCs w:val="0"/>
          <w:color w:val="auto"/>
          <w:sz w:val="20"/>
          <w:szCs w:val="20"/>
        </w:rPr>
        <w:t>Figure S2</w:t>
      </w:r>
      <w:r w:rsidRPr="53B8BA39">
        <w:rPr>
          <w:rFonts w:ascii="Times New Roman" w:eastAsia="Times New Roman" w:hAnsi="Times New Roman" w:cs="Times New Roman"/>
          <w:i w:val="0"/>
          <w:iCs w:val="0"/>
          <w:color w:val="auto"/>
          <w:sz w:val="20"/>
          <w:szCs w:val="20"/>
        </w:rPr>
        <w:t xml:space="preserve">: Visual Predictive Check (VPC) for Pseudovirus Neutralizing Titer (PSV). The </w:t>
      </w:r>
      <w:r>
        <w:rPr>
          <w:rFonts w:ascii="Times New Roman" w:eastAsia="Times New Roman" w:hAnsi="Times New Roman" w:cs="Times New Roman"/>
          <w:i w:val="0"/>
          <w:iCs w:val="0"/>
          <w:color w:val="auto"/>
          <w:sz w:val="20"/>
          <w:szCs w:val="20"/>
        </w:rPr>
        <w:t xml:space="preserve">lower </w:t>
      </w:r>
      <w:r w:rsidRPr="53B8BA39">
        <w:rPr>
          <w:rFonts w:ascii="Times New Roman" w:eastAsia="Times New Roman" w:hAnsi="Times New Roman" w:cs="Times New Roman"/>
          <w:i w:val="0"/>
          <w:iCs w:val="0"/>
          <w:color w:val="auto"/>
          <w:sz w:val="20"/>
          <w:szCs w:val="20"/>
        </w:rPr>
        <w:t>blue</w:t>
      </w:r>
      <w:r>
        <w:rPr>
          <w:rFonts w:ascii="Times New Roman" w:eastAsia="Times New Roman" w:hAnsi="Times New Roman" w:cs="Times New Roman"/>
          <w:i w:val="0"/>
          <w:iCs w:val="0"/>
          <w:color w:val="auto"/>
          <w:sz w:val="20"/>
          <w:szCs w:val="20"/>
        </w:rPr>
        <w:t xml:space="preserve">, middle pink, and upper blue </w:t>
      </w:r>
      <w:r w:rsidRPr="53B8BA39">
        <w:rPr>
          <w:rFonts w:ascii="Times New Roman" w:eastAsia="Times New Roman" w:hAnsi="Times New Roman" w:cs="Times New Roman"/>
          <w:i w:val="0"/>
          <w:iCs w:val="0"/>
          <w:color w:val="auto"/>
          <w:sz w:val="20"/>
          <w:szCs w:val="20"/>
        </w:rPr>
        <w:t xml:space="preserve">bands represent the model-predicted 5, 50 and 95% population quantiles of the observations, while the blue lines represent the percentiles observed across the raw data. The red areas highlight deviation between the predicted and observed percentiles. The blue dots represent the observed data, and the red dots represent the simulated values of below limit of quantification (BLOQ) observations. The BLOQ values are simulated to avoid truncation artifacts in the VPC. </w:t>
      </w:r>
    </w:p>
    <w:p w14:paraId="28E47C50" w14:textId="77777777" w:rsidR="00744363" w:rsidRDefault="00744363" w:rsidP="00744363">
      <w:pPr>
        <w:pStyle w:val="Acknowledgement"/>
        <w:ind w:left="0" w:firstLine="0"/>
        <w:rPr>
          <w:b/>
          <w:bCs/>
        </w:rPr>
      </w:pPr>
    </w:p>
    <w:p w14:paraId="66EF4F6E" w14:textId="77777777" w:rsidR="00744363" w:rsidRDefault="00744363" w:rsidP="002A5412"/>
    <w:p w14:paraId="566E3C68" w14:textId="77777777" w:rsidR="000B12FC" w:rsidRDefault="000B12FC" w:rsidP="002A5412"/>
    <w:p w14:paraId="2E68C43F" w14:textId="491C979F" w:rsidR="00E60541" w:rsidRDefault="00E60541" w:rsidP="00E60541">
      <w:pPr>
        <w:pStyle w:val="Heading2"/>
      </w:pPr>
      <w:r>
        <w:t>Reproducing the figures and tables</w:t>
      </w:r>
    </w:p>
    <w:p w14:paraId="68F184C7" w14:textId="147FB437" w:rsidR="00E60541" w:rsidRDefault="00E60541" w:rsidP="00E60541"/>
    <w:p w14:paraId="15F83FF8" w14:textId="31B4AD36" w:rsidR="00E60541" w:rsidRDefault="00E60541" w:rsidP="00E60541">
      <w:pPr>
        <w:pStyle w:val="ListParagraph"/>
        <w:numPr>
          <w:ilvl w:val="0"/>
          <w:numId w:val="1"/>
        </w:numPr>
      </w:pPr>
      <w:r>
        <w:t>Copy entire Supplementary Materials directory, preserving directory structure</w:t>
      </w:r>
    </w:p>
    <w:p w14:paraId="0231675E" w14:textId="66B7D85D" w:rsidR="00E60541" w:rsidRPr="00E60541" w:rsidRDefault="00E60541" w:rsidP="00E60541">
      <w:pPr>
        <w:pStyle w:val="ListParagraph"/>
        <w:numPr>
          <w:ilvl w:val="0"/>
          <w:numId w:val="1"/>
        </w:numPr>
        <w:rPr>
          <w:color w:val="FF0000"/>
        </w:rPr>
      </w:pPr>
      <w:r>
        <w:lastRenderedPageBreak/>
        <w:t xml:space="preserve">Launch monolix (2020R1) and load project: </w:t>
      </w:r>
      <w:r w:rsidRPr="00E60541">
        <w:rPr>
          <w:color w:val="FF0000"/>
        </w:rPr>
        <w:t>monolix/run015_PSV-neut-titer_M01-base.mlxtran</w:t>
      </w:r>
    </w:p>
    <w:p w14:paraId="47D809F1" w14:textId="3EE1A705" w:rsidR="00E60541" w:rsidRDefault="00E60541" w:rsidP="00E60541">
      <w:pPr>
        <w:pStyle w:val="ListParagraph"/>
        <w:numPr>
          <w:ilvl w:val="0"/>
          <w:numId w:val="1"/>
        </w:numPr>
      </w:pPr>
      <w:r>
        <w:t>Run the full project per monolix instructions</w:t>
      </w:r>
    </w:p>
    <w:p w14:paraId="6A7B2A19" w14:textId="0A5ED5E8" w:rsidR="00E60541" w:rsidRDefault="00E60541" w:rsidP="00E60541">
      <w:pPr>
        <w:pStyle w:val="ListParagraph"/>
        <w:numPr>
          <w:ilvl w:val="1"/>
          <w:numId w:val="1"/>
        </w:numPr>
      </w:pPr>
      <w:r>
        <w:t xml:space="preserve">Observe </w:t>
      </w:r>
      <w:r w:rsidRPr="00E60541">
        <w:rPr>
          <w:b/>
          <w:bCs/>
        </w:rPr>
        <w:t>table 1</w:t>
      </w:r>
      <w:r>
        <w:t xml:space="preserve"> in population results</w:t>
      </w:r>
    </w:p>
    <w:p w14:paraId="7340D1DC" w14:textId="1F08ED51" w:rsidR="00E60541" w:rsidRDefault="00E60541" w:rsidP="00E60541">
      <w:pPr>
        <w:pStyle w:val="ListParagraph"/>
        <w:numPr>
          <w:ilvl w:val="1"/>
          <w:numId w:val="1"/>
        </w:numPr>
      </w:pPr>
      <w:r>
        <w:t xml:space="preserve">Observe </w:t>
      </w:r>
      <w:r w:rsidRPr="00E60541">
        <w:rPr>
          <w:b/>
          <w:bCs/>
        </w:rPr>
        <w:t>figure S1</w:t>
      </w:r>
      <w:r>
        <w:t xml:space="preserve"> in data plot tab</w:t>
      </w:r>
    </w:p>
    <w:p w14:paraId="3484F453" w14:textId="21FD007E" w:rsidR="00E60541" w:rsidRDefault="00E60541" w:rsidP="00E60541">
      <w:pPr>
        <w:pStyle w:val="ListParagraph"/>
        <w:numPr>
          <w:ilvl w:val="1"/>
          <w:numId w:val="1"/>
        </w:numPr>
      </w:pPr>
      <w:r>
        <w:t xml:space="preserve">Observe </w:t>
      </w:r>
      <w:r w:rsidRPr="00E60541">
        <w:rPr>
          <w:b/>
          <w:bCs/>
        </w:rPr>
        <w:t>figure S2</w:t>
      </w:r>
      <w:r>
        <w:t xml:space="preserve"> in Visual Predictive Check tab</w:t>
      </w:r>
    </w:p>
    <w:p w14:paraId="03CE3C7B" w14:textId="76C21888" w:rsidR="00E60541" w:rsidRDefault="00E60541" w:rsidP="00E60541">
      <w:pPr>
        <w:pStyle w:val="ListParagraph"/>
        <w:numPr>
          <w:ilvl w:val="0"/>
          <w:numId w:val="1"/>
        </w:numPr>
      </w:pPr>
      <w:r>
        <w:t xml:space="preserve">Launch R (Rstudio), install required packages as needed. </w:t>
      </w:r>
    </w:p>
    <w:p w14:paraId="0F3405D5" w14:textId="2C587491" w:rsidR="00E60541" w:rsidRDefault="00E60541" w:rsidP="00E60541">
      <w:pPr>
        <w:pStyle w:val="ListParagraph"/>
        <w:numPr>
          <w:ilvl w:val="0"/>
          <w:numId w:val="1"/>
        </w:numPr>
      </w:pPr>
      <w:r>
        <w:t xml:space="preserve">Make sure working directory (setwd()) is </w:t>
      </w:r>
      <w:r w:rsidRPr="00E60541">
        <w:rPr>
          <w:color w:val="FF0000"/>
        </w:rPr>
        <w:t>code/</w:t>
      </w:r>
    </w:p>
    <w:p w14:paraId="587CA15C" w14:textId="7FF07277" w:rsidR="00E60541" w:rsidRDefault="00E60541" w:rsidP="00E60541">
      <w:pPr>
        <w:pStyle w:val="ListParagraph"/>
        <w:numPr>
          <w:ilvl w:val="0"/>
          <w:numId w:val="1"/>
        </w:numPr>
      </w:pPr>
      <w:r w:rsidRPr="00E60541">
        <w:t xml:space="preserve">Source </w:t>
      </w:r>
      <w:r w:rsidRPr="00E60541">
        <w:rPr>
          <w:color w:val="FF0000"/>
        </w:rPr>
        <w:t xml:space="preserve">postprocess_monolix.R </w:t>
      </w:r>
      <w:r w:rsidRPr="00E60541">
        <w:t xml:space="preserve">to </w:t>
      </w:r>
      <w:r>
        <w:t xml:space="preserve">generate </w:t>
      </w:r>
      <w:r w:rsidRPr="00E60541">
        <w:rPr>
          <w:b/>
          <w:bCs/>
        </w:rPr>
        <w:t>figure 1</w:t>
      </w:r>
    </w:p>
    <w:p w14:paraId="46642AFA" w14:textId="028E2776" w:rsidR="00E60541" w:rsidRPr="00E60541" w:rsidRDefault="00E60541" w:rsidP="00E60541">
      <w:pPr>
        <w:pStyle w:val="ListParagraph"/>
        <w:numPr>
          <w:ilvl w:val="0"/>
          <w:numId w:val="1"/>
        </w:numPr>
      </w:pPr>
      <w:r>
        <w:t xml:space="preserve">Source </w:t>
      </w:r>
      <w:r w:rsidRPr="00E60541">
        <w:rPr>
          <w:color w:val="FF0000"/>
        </w:rPr>
        <w:t>postprocess_monolix_bootstrap+PPC.R</w:t>
      </w:r>
      <w:r>
        <w:t xml:space="preserve"> to generate </w:t>
      </w:r>
      <w:r w:rsidRPr="00E60541">
        <w:rPr>
          <w:b/>
          <w:bCs/>
        </w:rPr>
        <w:t>figure 2</w:t>
      </w:r>
    </w:p>
    <w:p w14:paraId="5AF8C059" w14:textId="71D1482D" w:rsidR="00E60541" w:rsidRDefault="00E60541" w:rsidP="002A5412"/>
    <w:p w14:paraId="04CACCA1" w14:textId="7A42EC63" w:rsidR="00E60541" w:rsidRDefault="00E60541" w:rsidP="00E60541">
      <w:pPr>
        <w:pStyle w:val="Heading2"/>
      </w:pPr>
      <w:r>
        <w:t>To test the bi-exponential model and mono-exponential model on the Dan and Wheatley data sets</w:t>
      </w:r>
      <w:r w:rsidR="00B75EDE">
        <w:t xml:space="preserve"> </w:t>
      </w:r>
    </w:p>
    <w:p w14:paraId="5C876DE0" w14:textId="49D06A6E" w:rsidR="00E60541" w:rsidRDefault="008C6666" w:rsidP="00E60541">
      <w:pPr>
        <w:pStyle w:val="ListParagraph"/>
        <w:numPr>
          <w:ilvl w:val="0"/>
          <w:numId w:val="2"/>
        </w:numPr>
      </w:pPr>
      <w:r>
        <w:t>For the Wheatley data set:</w:t>
      </w:r>
    </w:p>
    <w:p w14:paraId="5B8FD9E6" w14:textId="07C00CD8" w:rsidR="008C6666" w:rsidRDefault="008C6666" w:rsidP="008C6666">
      <w:pPr>
        <w:pStyle w:val="ListParagraph"/>
        <w:numPr>
          <w:ilvl w:val="1"/>
          <w:numId w:val="2"/>
        </w:numPr>
      </w:pPr>
      <w:r>
        <w:t>Launch monolix and load project: M01_Wheatley1b_base.mlxtran</w:t>
      </w:r>
    </w:p>
    <w:p w14:paraId="6DB96F5E" w14:textId="06856F65" w:rsidR="008C6666" w:rsidRDefault="008C6666" w:rsidP="008C6666">
      <w:pPr>
        <w:pStyle w:val="ListParagraph"/>
        <w:numPr>
          <w:ilvl w:val="1"/>
          <w:numId w:val="2"/>
        </w:numPr>
      </w:pPr>
      <w:r>
        <w:t>Run the project and note the BICc score W1. This is single exponential model (M01).</w:t>
      </w:r>
    </w:p>
    <w:p w14:paraId="526B0D6D" w14:textId="7DC8E802" w:rsidR="008C6666" w:rsidRDefault="008C6666" w:rsidP="008C6666">
      <w:pPr>
        <w:pStyle w:val="ListParagraph"/>
        <w:numPr>
          <w:ilvl w:val="1"/>
          <w:numId w:val="2"/>
        </w:numPr>
      </w:pPr>
      <w:r>
        <w:t>Load the project: M04_Wheatley1b_base.mlxtran</w:t>
      </w:r>
    </w:p>
    <w:p w14:paraId="1F7988A5" w14:textId="6EC726B3" w:rsidR="008C6666" w:rsidRDefault="008C6666" w:rsidP="008C6666">
      <w:pPr>
        <w:pStyle w:val="ListParagraph"/>
        <w:numPr>
          <w:ilvl w:val="1"/>
          <w:numId w:val="2"/>
        </w:numPr>
      </w:pPr>
      <w:r>
        <w:t xml:space="preserve">Run the project and note the BICc score W2. This is the piecewise 2-exponential model modeled after Wheatley’s report of 2 exponentials (models/M04). </w:t>
      </w:r>
    </w:p>
    <w:p w14:paraId="5DFD10EE" w14:textId="30E9E5B7" w:rsidR="008C6666" w:rsidRDefault="008C6666" w:rsidP="008C6666">
      <w:pPr>
        <w:pStyle w:val="ListParagraph"/>
        <w:numPr>
          <w:ilvl w:val="1"/>
          <w:numId w:val="2"/>
        </w:numPr>
      </w:pPr>
      <w:r>
        <w:t>Note that W2 &lt; W1, indicating that Bayes Information Criteria favors the 2 exponential model for this data set.</w:t>
      </w:r>
    </w:p>
    <w:p w14:paraId="276836DE" w14:textId="367720F8" w:rsidR="008C6666" w:rsidRDefault="008C6666" w:rsidP="008C6666">
      <w:pPr>
        <w:pStyle w:val="ListParagraph"/>
        <w:numPr>
          <w:ilvl w:val="0"/>
          <w:numId w:val="2"/>
        </w:numPr>
      </w:pPr>
      <w:r>
        <w:t>For the Dan data set</w:t>
      </w:r>
    </w:p>
    <w:p w14:paraId="1338970C" w14:textId="70FF33CD" w:rsidR="008C6666" w:rsidRDefault="008C6666" w:rsidP="008C6666">
      <w:pPr>
        <w:pStyle w:val="ListParagraph"/>
        <w:numPr>
          <w:ilvl w:val="1"/>
          <w:numId w:val="2"/>
        </w:numPr>
      </w:pPr>
      <w:r>
        <w:t>Launch monolix and load project: M01_Dan_PSV-base.mlxtran</w:t>
      </w:r>
    </w:p>
    <w:p w14:paraId="0973247B" w14:textId="2F67B5FA" w:rsidR="008C6666" w:rsidRDefault="008C6666" w:rsidP="008C6666">
      <w:pPr>
        <w:pStyle w:val="ListParagraph"/>
        <w:numPr>
          <w:ilvl w:val="1"/>
          <w:numId w:val="2"/>
        </w:numPr>
      </w:pPr>
      <w:r>
        <w:t>Run the project and note the BICc score D1. This is single exponential model</w:t>
      </w:r>
    </w:p>
    <w:p w14:paraId="38BD05AC" w14:textId="3FE63BD2" w:rsidR="008C6666" w:rsidRDefault="008C6666" w:rsidP="008C6666">
      <w:pPr>
        <w:pStyle w:val="ListParagraph"/>
        <w:numPr>
          <w:ilvl w:val="1"/>
          <w:numId w:val="2"/>
        </w:numPr>
      </w:pPr>
      <w:r>
        <w:t>Load the project: M04_Dan_PSV-base.mlxtran</w:t>
      </w:r>
    </w:p>
    <w:p w14:paraId="7E91CFA9" w14:textId="1F86FCAF" w:rsidR="008C6666" w:rsidRDefault="008C6666" w:rsidP="008C6666">
      <w:pPr>
        <w:pStyle w:val="ListParagraph"/>
        <w:numPr>
          <w:ilvl w:val="1"/>
          <w:numId w:val="2"/>
        </w:numPr>
      </w:pPr>
      <w:r>
        <w:t>Run the project and note the BICc score D2. This is the 2 exponential model M04.</w:t>
      </w:r>
    </w:p>
    <w:p w14:paraId="18988F3B" w14:textId="02CDBB2A" w:rsidR="008C6666" w:rsidRPr="00E60541" w:rsidRDefault="008C6666" w:rsidP="008C6666">
      <w:pPr>
        <w:pStyle w:val="ListParagraph"/>
        <w:numPr>
          <w:ilvl w:val="1"/>
          <w:numId w:val="2"/>
        </w:numPr>
      </w:pPr>
      <w:r>
        <w:t>Note that D2 &gt; D1, indicating that BIC favors the 1</w:t>
      </w:r>
      <w:r w:rsidR="00BA019B">
        <w:t>-</w:t>
      </w:r>
      <w:r>
        <w:t>exponential model for the Dan data set.</w:t>
      </w:r>
    </w:p>
    <w:p w14:paraId="10368735" w14:textId="3D4A559D" w:rsidR="00744363" w:rsidRDefault="00B75EDE" w:rsidP="002A5412">
      <w:r>
        <w:t>See also table S2.</w:t>
      </w:r>
    </w:p>
    <w:p w14:paraId="27AB330D" w14:textId="6DD24E64" w:rsidR="00BA019B" w:rsidRDefault="00BA019B" w:rsidP="002A5412"/>
    <w:p w14:paraId="381635E9" w14:textId="77777777" w:rsidR="00BA019B" w:rsidRDefault="00BA019B" w:rsidP="002A5412"/>
    <w:p w14:paraId="39EB2E8B" w14:textId="0ACE19A1" w:rsidR="00744363" w:rsidRDefault="00744363" w:rsidP="00744363">
      <w:pPr>
        <w:pStyle w:val="Heading2"/>
      </w:pPr>
      <w:r>
        <w:t>Supplementary references</w:t>
      </w:r>
    </w:p>
    <w:p w14:paraId="1FB9EF09" w14:textId="0AED5EC1" w:rsidR="00744363" w:rsidRDefault="00744363" w:rsidP="00744363"/>
    <w:p w14:paraId="253BC137" w14:textId="5445595A" w:rsidR="00744363" w:rsidRDefault="00744363" w:rsidP="00744363">
      <w:r>
        <w:rPr>
          <w:color w:val="000000"/>
          <w:shd w:val="clear" w:color="auto" w:fill="FFFFFF"/>
        </w:rPr>
        <w:t>Beal SL. Ways to fit a PK model with some data below the quantification limit. </w:t>
      </w:r>
      <w:r>
        <w:rPr>
          <w:rStyle w:val="ref-journal"/>
          <w:i/>
          <w:iCs/>
          <w:color w:val="000000"/>
          <w:shd w:val="clear" w:color="auto" w:fill="FFFFFF"/>
        </w:rPr>
        <w:t>J Pharmacokinet Pharmacodyn. </w:t>
      </w:r>
      <w:r>
        <w:rPr>
          <w:color w:val="000000"/>
          <w:shd w:val="clear" w:color="auto" w:fill="FFFFFF"/>
        </w:rPr>
        <w:t>2001;</w:t>
      </w:r>
      <w:r>
        <w:rPr>
          <w:rStyle w:val="ref-vol"/>
          <w:color w:val="000000"/>
          <w:shd w:val="clear" w:color="auto" w:fill="FFFFFF"/>
        </w:rPr>
        <w:t>28</w:t>
      </w:r>
      <w:r>
        <w:rPr>
          <w:color w:val="000000"/>
          <w:shd w:val="clear" w:color="auto" w:fill="FFFFFF"/>
        </w:rPr>
        <w:t>(5):481–504. doi: 10.1023/A:1012299115260. </w:t>
      </w:r>
    </w:p>
    <w:p w14:paraId="6AC1384E" w14:textId="77777777" w:rsidR="00744363" w:rsidRDefault="00744363" w:rsidP="00744363"/>
    <w:p w14:paraId="4F58B82D" w14:textId="00702ED4" w:rsidR="00744363" w:rsidRDefault="00744363" w:rsidP="00744363">
      <w:r>
        <w:t>Dan et al, Science, Immunological memory to SARS-CoV-2 assessed for up to 8 months after infection, 2021.</w:t>
      </w:r>
    </w:p>
    <w:p w14:paraId="22ED76A5" w14:textId="77777777" w:rsidR="00744363" w:rsidRDefault="00744363" w:rsidP="00744363"/>
    <w:p w14:paraId="075B52F4" w14:textId="2F1B063D" w:rsidR="00744363" w:rsidRPr="00744363" w:rsidRDefault="00744363" w:rsidP="00744363">
      <w:r>
        <w:t xml:space="preserve">Wheatley et al, Nature, </w:t>
      </w:r>
      <w:r w:rsidRPr="008C6666">
        <w:t>Evolution of immune responses to SARS-CoV-2 in mild-moderate COVID-19</w:t>
      </w:r>
      <w:r>
        <w:t>, 2021.</w:t>
      </w:r>
    </w:p>
    <w:sectPr w:rsidR="00744363" w:rsidRPr="00744363" w:rsidSect="00EE6E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Bottino, Dean" w:date="2021-05-03T16:39:00Z" w:initials="BD">
    <w:p w14:paraId="0A622BDF" w14:textId="77777777" w:rsidR="00744363" w:rsidRDefault="00744363" w:rsidP="00744363">
      <w:pPr>
        <w:pStyle w:val="CommentText"/>
      </w:pPr>
      <w:r>
        <w:rPr>
          <w:rStyle w:val="CommentReference"/>
        </w:rPr>
        <w:annotationRef/>
      </w:r>
    </w:p>
  </w:comment>
  <w:comment w:id="1" w:author="Bottino, Dean" w:date="2021-05-03T16:39:00Z" w:initials="BD">
    <w:p w14:paraId="7339BB04" w14:textId="77777777" w:rsidR="00744363" w:rsidRDefault="00744363" w:rsidP="00744363">
      <w:pPr>
        <w:pStyle w:val="CommentText"/>
      </w:pPr>
      <w:r>
        <w:rPr>
          <w:rStyle w:val="CommentReference"/>
        </w:rPr>
        <w:annotationRef/>
      </w:r>
      <w:r>
        <w:t>replace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A622BDF" w15:done="0"/>
  <w15:commentEx w15:paraId="7339BB0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3AA5B0" w16cex:dateUtc="2021-05-03T20:39:00Z"/>
  <w16cex:commentExtensible w16cex:durableId="243AA5BB" w16cex:dateUtc="2021-05-03T2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A622BDF" w16cid:durableId="243AA5B0"/>
  <w16cid:commentId w16cid:paraId="7339BB04" w16cid:durableId="243AA5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CAD35E" w14:textId="77777777" w:rsidR="00B56CD8" w:rsidRDefault="00B56CD8" w:rsidP="002A5412">
      <w:r>
        <w:separator/>
      </w:r>
    </w:p>
  </w:endnote>
  <w:endnote w:type="continuationSeparator" w:id="0">
    <w:p w14:paraId="250121AD" w14:textId="77777777" w:rsidR="00B56CD8" w:rsidRDefault="00B56CD8" w:rsidP="002A5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EB3068" w14:textId="77777777" w:rsidR="00B56CD8" w:rsidRDefault="00B56CD8" w:rsidP="002A5412">
      <w:r>
        <w:separator/>
      </w:r>
    </w:p>
  </w:footnote>
  <w:footnote w:type="continuationSeparator" w:id="0">
    <w:p w14:paraId="28E8D2F8" w14:textId="77777777" w:rsidR="00B56CD8" w:rsidRDefault="00B56CD8" w:rsidP="002A54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E13721"/>
    <w:multiLevelType w:val="hybridMultilevel"/>
    <w:tmpl w:val="4BCA0C3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C130A2"/>
    <w:multiLevelType w:val="hybridMultilevel"/>
    <w:tmpl w:val="2BD8479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ottino, Dean">
    <w15:presenceInfo w15:providerId="AD" w15:userId="S::Dean.Bottino@Takeda.com::c563eb64-dab6-454d-80e4-558f2039ae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B12FC"/>
    <w:rsid w:val="00125322"/>
    <w:rsid w:val="001C00F1"/>
    <w:rsid w:val="0028652A"/>
    <w:rsid w:val="002A5412"/>
    <w:rsid w:val="004A5FBD"/>
    <w:rsid w:val="00744363"/>
    <w:rsid w:val="008C6666"/>
    <w:rsid w:val="008D1141"/>
    <w:rsid w:val="00923F75"/>
    <w:rsid w:val="00AE3A08"/>
    <w:rsid w:val="00B03A06"/>
    <w:rsid w:val="00B56CD8"/>
    <w:rsid w:val="00B75EDE"/>
    <w:rsid w:val="00BA019B"/>
    <w:rsid w:val="00D1010D"/>
    <w:rsid w:val="00E31A73"/>
    <w:rsid w:val="00E60541"/>
    <w:rsid w:val="00EE239F"/>
    <w:rsid w:val="00EE6E42"/>
    <w:rsid w:val="00F0512D"/>
    <w:rsid w:val="0E194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6054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6054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5412"/>
    <w:pPr>
      <w:tabs>
        <w:tab w:val="center" w:pos="4680"/>
        <w:tab w:val="right" w:pos="9360"/>
      </w:tabs>
    </w:pPr>
  </w:style>
  <w:style w:type="character" w:customStyle="1" w:styleId="HeaderChar">
    <w:name w:val="Header Char"/>
    <w:basedOn w:val="DefaultParagraphFont"/>
    <w:link w:val="Header"/>
    <w:uiPriority w:val="99"/>
    <w:rsid w:val="002A5412"/>
  </w:style>
  <w:style w:type="paragraph" w:styleId="Footer">
    <w:name w:val="footer"/>
    <w:basedOn w:val="Normal"/>
    <w:link w:val="FooterChar"/>
    <w:uiPriority w:val="99"/>
    <w:unhideWhenUsed/>
    <w:rsid w:val="002A5412"/>
    <w:pPr>
      <w:tabs>
        <w:tab w:val="center" w:pos="4680"/>
        <w:tab w:val="right" w:pos="9360"/>
      </w:tabs>
    </w:pPr>
  </w:style>
  <w:style w:type="character" w:customStyle="1" w:styleId="FooterChar">
    <w:name w:val="Footer Char"/>
    <w:basedOn w:val="DefaultParagraphFont"/>
    <w:link w:val="Footer"/>
    <w:uiPriority w:val="99"/>
    <w:rsid w:val="002A5412"/>
  </w:style>
  <w:style w:type="character" w:customStyle="1" w:styleId="Heading1Char">
    <w:name w:val="Heading 1 Char"/>
    <w:basedOn w:val="DefaultParagraphFont"/>
    <w:link w:val="Heading1"/>
    <w:uiPriority w:val="9"/>
    <w:rsid w:val="00E6054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6054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60541"/>
    <w:pPr>
      <w:ind w:left="720"/>
      <w:contextualSpacing/>
    </w:pPr>
  </w:style>
  <w:style w:type="paragraph" w:customStyle="1" w:styleId="Teaser">
    <w:name w:val="Teaser"/>
    <w:basedOn w:val="Normal"/>
    <w:rsid w:val="000B12FC"/>
    <w:pPr>
      <w:spacing w:before="120"/>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B12F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12FC"/>
    <w:rPr>
      <w:rFonts w:ascii="Segoe UI" w:hAnsi="Segoe UI" w:cs="Segoe UI"/>
      <w:sz w:val="18"/>
      <w:szCs w:val="18"/>
    </w:rPr>
  </w:style>
  <w:style w:type="paragraph" w:customStyle="1" w:styleId="Acknowledgement">
    <w:name w:val="Acknowledgement"/>
    <w:basedOn w:val="Normal"/>
    <w:rsid w:val="00744363"/>
    <w:pPr>
      <w:spacing w:before="120"/>
      <w:ind w:left="720" w:hanging="720"/>
    </w:pPr>
    <w:rPr>
      <w:rFonts w:ascii="Times New Roman" w:eastAsia="Times New Roman" w:hAnsi="Times New Roman" w:cs="Times New Roman"/>
    </w:rPr>
  </w:style>
  <w:style w:type="character" w:styleId="CommentReference">
    <w:name w:val="annotation reference"/>
    <w:basedOn w:val="DefaultParagraphFont"/>
    <w:rsid w:val="00744363"/>
    <w:rPr>
      <w:sz w:val="18"/>
      <w:szCs w:val="18"/>
    </w:rPr>
  </w:style>
  <w:style w:type="paragraph" w:styleId="CommentText">
    <w:name w:val="annotation text"/>
    <w:basedOn w:val="Normal"/>
    <w:link w:val="CommentTextChar"/>
    <w:semiHidden/>
    <w:rsid w:val="00744363"/>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744363"/>
    <w:rPr>
      <w:rFonts w:ascii="Times New Roman" w:eastAsia="Times New Roman" w:hAnsi="Times New Roman" w:cs="Times New Roman"/>
      <w:sz w:val="20"/>
      <w:szCs w:val="20"/>
    </w:rPr>
  </w:style>
  <w:style w:type="paragraph" w:styleId="Caption">
    <w:name w:val="caption"/>
    <w:basedOn w:val="Normal"/>
    <w:next w:val="Normal"/>
    <w:uiPriority w:val="35"/>
    <w:unhideWhenUsed/>
    <w:qFormat/>
    <w:rsid w:val="00744363"/>
    <w:pPr>
      <w:spacing w:after="200"/>
    </w:pPr>
    <w:rPr>
      <w:i/>
      <w:iCs/>
      <w:color w:val="44546A" w:themeColor="text2"/>
      <w:sz w:val="18"/>
      <w:szCs w:val="18"/>
    </w:rPr>
  </w:style>
  <w:style w:type="table" w:styleId="TableGrid">
    <w:name w:val="Table Grid"/>
    <w:basedOn w:val="TableNormal"/>
    <w:uiPriority w:val="39"/>
    <w:rsid w:val="0074436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f-journal">
    <w:name w:val="ref-journal"/>
    <w:basedOn w:val="DefaultParagraphFont"/>
    <w:rsid w:val="00744363"/>
  </w:style>
  <w:style w:type="character" w:customStyle="1" w:styleId="ref-vol">
    <w:name w:val="ref-vol"/>
    <w:basedOn w:val="DefaultParagraphFont"/>
    <w:rsid w:val="00744363"/>
  </w:style>
  <w:style w:type="character" w:styleId="PlaceholderText">
    <w:name w:val="Placeholder Text"/>
    <w:basedOn w:val="DefaultParagraphFont"/>
    <w:uiPriority w:val="99"/>
    <w:semiHidden/>
    <w:rsid w:val="00923F7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0618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1393</Words>
  <Characters>7945</Characters>
  <Application>Microsoft Office Word</Application>
  <DocSecurity>0</DocSecurity>
  <Lines>66</Lines>
  <Paragraphs>18</Paragraphs>
  <ScaleCrop>false</ScaleCrop>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Bottino, Dean</cp:lastModifiedBy>
  <cp:revision>11</cp:revision>
  <dcterms:created xsi:type="dcterms:W3CDTF">2018-02-09T21:34:00Z</dcterms:created>
  <dcterms:modified xsi:type="dcterms:W3CDTF">2021-05-07T19:22:00Z</dcterms:modified>
</cp:coreProperties>
</file>