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is a candidate, and 3 apps are,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3 buttons, one per bank. Each button navigates to that bank's own individual custom scheme (e.g. bankademo://pay?token=...). iOS recognizes the scheme is claimed by an installed app and, after a system confirmation prompt, hands off to it directly.</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3 bank buttons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selects a bank whose app isn’t installed, both platforms currently fail with no clear in-app message explaining what happened (the earlier “not installed” detection logic was removed for being unreliable).</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handled. Could redirect to an app store listing or show a generic “couldn’t open that app” message as a future improvement.</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2026-07-14T08:23:32.408Z</dcterms:created>
  <dcterms:modified xsi:type="dcterms:W3CDTF">2026-07-14T08:23:32.409Z</dcterms:modified>
</cp:coreProperties>
</file>

<file path=docProps/custom.xml><?xml version="1.0" encoding="utf-8"?>
<Properties xmlns="http://schemas.openxmlformats.org/officeDocument/2006/custom-properties" xmlns:vt="http://schemas.openxmlformats.org/officeDocument/2006/docPropsVTypes"/>
</file>