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300"/>
        <w:jc w:val="center"/>
      </w:pPr>
      <w:r>
        <w:rPr>
          <w:rFonts w:ascii="Calibri" w:cs="Calibri" w:eastAsia="Calibri" w:hAnsi="Calibri"/>
          <w:b/>
          <w:bCs/>
          <w:color w:val="21295C"/>
          <w:sz w:val="44"/>
          <w:szCs w:val="44"/>
        </w:rPr>
        <w:t xml:space="preserve">SGQR-Style Deep Linking Simulation</w:t>
      </w:r>
    </w:p>
    <w:p>
      <w:pPr>
        <w:spacing w:after="800"/>
        <w:jc w:val="center"/>
      </w:pPr>
      <w:r>
        <w:rPr>
          <w:rFonts w:ascii="Calibri" w:cs="Calibri" w:eastAsia="Calibri" w:hAnsi="Calibri"/>
          <w:color w:val="065A82"/>
          <w:sz w:val="30"/>
          <w:szCs w:val="30"/>
        </w:rPr>
        <w:t xml:space="preserve">Complete Project Documentation</w:t>
      </w:r>
    </w:p>
    <w:p>
      <w:pPr>
        <w:jc w:val="center"/>
      </w:pPr>
      <w:r>
        <w:rPr>
          <w:rFonts w:ascii="Calibri" w:cs="Calibri" w:eastAsia="Calibri" w:hAnsi="Calibri"/>
          <w:i/>
          <w:iCs/>
          <w:color w:val="5B6B79"/>
          <w:sz w:val="22"/>
          <w:szCs w:val="22"/>
        </w:rPr>
        <w:t xml:space="preserve">What this project does, why it's built this way, how it works end to end, the technical vocabulary involved, and every known risk with its mitigation. Written to be understood by both technical and non-technical readers.</w:t>
      </w:r>
    </w:p>
    <w:p>
      <w:r>
        <w:br w:type="page"/>
      </w:r>
    </w:p>
    <w:p>
      <w:pPr>
        <w:pStyle w:val="Heading1"/>
        <w:spacing w:after="200" w:before="4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Part 1 — Project Overview</w:t>
      </w:r>
    </w:p>
    <w:p>
      <w:pPr>
        <w:pStyle w:val="Heading2"/>
        <w:spacing w:after="150" w:before="300"/>
      </w:pPr>
      <w:r>
        <w:t xml:space="preserve">What this project is</w:t>
      </w:r>
    </w:p>
    <w:p>
      <w:pPr>
        <w:spacing w:after="160"/>
      </w:pPr>
      <w:r>
        <w:rPr>
          <w:rFonts w:ascii="Calibri" w:cs="Calibri" w:eastAsia="Calibri" w:hAnsi="Calibri"/>
          <w:sz w:val="22"/>
          <w:szCs w:val="22"/>
        </w:rPr>
        <w:t xml:space="preserve">This project simulates how a Singapore-style universal QR payment code (SGQR / PayNow) could work when three different banks each have their own separate mobile app, and a merchant's QR code needs to let a customer pay with whichever bank they use — without the merchant needing to know in advance which bank that will be.</w:t>
      </w:r>
    </w:p>
    <w:p>
      <w:pPr>
        <w:spacing w:after="160"/>
      </w:pPr>
      <w:r>
        <w:rPr>
          <w:rFonts w:ascii="Calibri" w:cs="Calibri" w:eastAsia="Calibri" w:hAnsi="Calibri"/>
          <w:sz w:val="22"/>
          <w:szCs w:val="22"/>
        </w:rPr>
        <w:t xml:space="preserve">Concretely, it consists of:</w:t>
      </w:r>
    </w:p>
    <w:p>
      <w:pPr>
        <w:pStyle w:val="ListParagraph"/>
        <w:numPr>
          <w:ilvl w:val="0"/>
          <w:numId w:val="1"/>
        </w:numPr>
        <w:spacing w:after="90"/>
      </w:pPr>
      <w:r>
        <w:rPr>
          <w:rFonts w:ascii="Calibri" w:cs="Calibri" w:eastAsia="Calibri" w:hAnsi="Calibri"/>
          <w:sz w:val="22"/>
          <w:szCs w:val="22"/>
        </w:rPr>
        <w:t xml:space="preserve">A backend server that creates payment records and generates QR codes</w:t>
      </w:r>
    </w:p>
    <w:p>
      <w:pPr>
        <w:pStyle w:val="ListParagraph"/>
        <w:numPr>
          <w:ilvl w:val="0"/>
          <w:numId w:val="1"/>
        </w:numPr>
        <w:spacing w:after="90"/>
      </w:pPr>
      <w:r>
        <w:rPr>
          <w:rFonts w:ascii="Calibri" w:cs="Calibri" w:eastAsia="Calibri" w:hAnsi="Calibri"/>
          <w:sz w:val="22"/>
          <w:szCs w:val="22"/>
        </w:rPr>
        <w:t xml:space="preserve">A webpage that appears on iPhones, letting the customer pick a bank</w:t>
      </w:r>
    </w:p>
    <w:p>
      <w:pPr>
        <w:pStyle w:val="ListParagraph"/>
        <w:numPr>
          <w:ilvl w:val="0"/>
          <w:numId w:val="1"/>
        </w:numPr>
        <w:spacing w:after="90"/>
      </w:pPr>
      <w:r>
        <w:rPr>
          <w:rFonts w:ascii="Calibri" w:cs="Calibri" w:eastAsia="Calibri" w:hAnsi="Calibri"/>
          <w:sz w:val="22"/>
          <w:szCs w:val="22"/>
        </w:rPr>
        <w:t xml:space="preserve">Three separate, fully independent bank apps (Bank A, Bank B, Bank C) for both Android and iOS</w:t>
      </w:r>
    </w:p>
    <w:p>
      <w:pPr>
        <w:spacing w:after="160"/>
      </w:pPr>
      <w:r>
        <w:rPr>
          <w:rFonts w:ascii="Calibri" w:cs="Calibri" w:eastAsia="Calibri" w:hAnsi="Calibri"/>
          <w:sz w:val="22"/>
          <w:szCs w:val="22"/>
        </w:rPr>
        <w:t xml:space="preserve">The core requirement driving every design decision in this project was: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8F5F0" w:val="clear"/>
            <w:tcMar>
              <w:top w:type="dxa" w:w="160"/>
              <w:left w:type="dxa" w:w="200"/>
              <w:bottom w:type="dxa" w:w="160"/>
              <w:right w:type="dxa" w:w="200"/>
            </w:tcMar>
          </w:tcPr>
          <w:p>
            <w:pPr>
              <w:spacing w:after="80"/>
            </w:pPr>
            <w:r>
              <w:rPr>
                <w:rFonts w:ascii="Calibri" w:cs="Calibri" w:eastAsia="Calibri" w:hAnsi="Calibri"/>
                <w:b/>
                <w:bCs/>
                <w:color w:val="0B3B44"/>
                <w:sz w:val="22"/>
                <w:szCs w:val="22"/>
              </w:rPr>
              <w:t xml:space="preserve">The requirement</w:t>
            </w:r>
          </w:p>
          <w:p>
            <w:r>
              <w:rPr>
                <w:rFonts w:ascii="Calibri" w:cs="Calibri" w:eastAsia="Calibri" w:hAnsi="Calibri"/>
                <w:color w:val="1A2233"/>
                <w:sz w:val="21"/>
                <w:szCs w:val="21"/>
              </w:rPr>
              <w:t xml:space="preserve">One QR code must work for both Android and iOS. On Android, scanning it should lead to the phone's native "choose an app" dialog, listing all 3 bank apps. On iOS — which has no equivalent of that dialog — it should fall back to a webpage where the customer picks a bank instead.</w:t>
            </w:r>
          </w:p>
        </w:tc>
      </w:tr>
    </w:tbl>
    <w:p>
      <w:pPr>
        <w:spacing w:after="200"/>
      </w:pPr>
    </w:p>
    <w:p>
      <w:pPr>
        <w:pStyle w:val="Heading2"/>
        <w:spacing w:after="150" w:before="300"/>
      </w:pPr>
      <w:r>
        <w:t xml:space="preserve">Who this document is for</w:t>
      </w:r>
    </w:p>
    <w:p>
      <w:pPr>
        <w:spacing w:after="160"/>
      </w:pPr>
      <w:r>
        <w:rPr>
          <w:rFonts w:ascii="Calibri" w:cs="Calibri" w:eastAsia="Calibri" w:hAnsi="Calibri"/>
          <w:sz w:val="22"/>
          <w:szCs w:val="22"/>
        </w:rPr>
        <w:t xml:space="preserve">This is written so that a non-technical reader can understand what the system does and why it works the way it does, while a technical reader can follow the exact mechanisms, file locations, and test results behind every claim. Plain-language explanations come first in each section, with technical detail immediately after.</w:t>
      </w:r>
    </w:p>
    <w:p>
      <w:r>
        <w:br w:type="page"/>
      </w:r>
    </w:p>
    <w:p>
      <w:pPr>
        <w:pStyle w:val="Heading1"/>
        <w:spacing w:after="200" w:before="400"/>
      </w:pPr>
      <w:r>
        <w:t xml:space="preserve">Part 2 — The Challenge</w:t>
      </w:r>
    </w:p>
    <w:p>
      <w:pPr>
        <w:spacing w:after="160"/>
      </w:pPr>
      <w:r>
        <w:rPr>
          <w:rFonts w:ascii="Calibri" w:cs="Calibri" w:eastAsia="Calibri" w:hAnsi="Calibri"/>
          <w:sz w:val="22"/>
          <w:szCs w:val="22"/>
        </w:rPr>
        <w:t xml:space="preserve">In plain terms: phones don't naturally know how to show "pick one of these 3 apps" for a payment QR code unless you set things up in a very particular way — and Android and iOS solve this completely differently under the hood.</w:t>
      </w:r>
    </w:p>
    <w:p>
      <w:pPr>
        <w:pStyle w:val="Heading2"/>
        <w:spacing w:after="150" w:before="300"/>
      </w:pPr>
      <w:r>
        <w:t xml:space="preserve">Three constraints that all have to hold at once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300"/>
      </w:tblGrid>
      <w:tr>
        <w:trPr>
          <w:tblHeader/>
        </w:trPr>
        <w:tc>
          <w:tcPr>
            <w:tcW w:type="dxa" w:w="32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Constraint</w:t>
            </w:r>
          </w:p>
        </w:tc>
        <w:tc>
          <w:tcPr>
            <w:tcW w:type="dxa" w:w="34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In plain language</w:t>
            </w:r>
          </w:p>
        </w:tc>
        <w:tc>
          <w:tcPr>
            <w:tcW w:type="dxa" w:w="33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Why it's hard</w:t>
            </w:r>
          </w:p>
        </w:tc>
      </w:tr>
      <w:tr>
        <w:tc>
          <w:tcPr>
            <w:tcW w:type="dxa" w:w="3200"/>
            <w:tcMar>
              <w:top w:type="dxa" w:w="100"/>
              <w:left w:type="dxa" w:w="120"/>
              <w:bottom w:type="dxa" w:w="100"/>
              <w:right w:type="dxa" w:w="120"/>
            </w:tcMar>
            <w:vAlign w:val="top"/>
          </w:tcPr>
          <w:p>
            <w:r>
              <w:rPr>
                <w:rFonts w:ascii="Calibri" w:cs="Calibri" w:eastAsia="Calibri" w:hAnsi="Calibri"/>
                <w:b/>
                <w:bCs/>
                <w:color w:val="1A2233"/>
                <w:sz w:val="20"/>
                <w:szCs w:val="20"/>
              </w:rPr>
              <w:t xml:space="preserve">One QR code</w:t>
            </w:r>
          </w:p>
        </w:tc>
        <w:tc>
          <w:tcPr>
            <w:tcW w:type="dxa" w:w="34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same printed QR code must work no matter which phone scans it.</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Whatever the QR contains has to make sense to both Android's and iOS's camera apps — most content that works on one breaks on the other.</w:t>
            </w:r>
          </w:p>
        </w:tc>
      </w:tr>
      <w:tr>
        <w:tc>
          <w:tcPr>
            <w:tcW w:type="dxa" w:w="3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Android → native chooser</w:t>
            </w:r>
          </w:p>
        </w:tc>
        <w:tc>
          <w:tcPr>
            <w:tcW w:type="dxa" w:w="34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On Android, scanning should show the phone's own "Open with…" popup, listing all 3 bank apps.</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That popup only appears under very specific conditions that are easy to accidentally prevent.</w:t>
            </w:r>
          </w:p>
        </w:tc>
      </w:tr>
      <w:tr>
        <w:tc>
          <w:tcPr>
            <w:tcW w:type="dxa" w:w="3200"/>
            <w:tcMar>
              <w:top w:type="dxa" w:w="100"/>
              <w:left w:type="dxa" w:w="120"/>
              <w:bottom w:type="dxa" w:w="100"/>
              <w:right w:type="dxa" w:w="120"/>
            </w:tcMar>
            <w:vAlign w:val="top"/>
          </w:tcPr>
          <w:p>
            <w:r>
              <w:rPr>
                <w:rFonts w:ascii="Calibri" w:cs="Calibri" w:eastAsia="Calibri" w:hAnsi="Calibri"/>
                <w:b/>
                <w:bCs/>
                <w:color w:val="1A2233"/>
                <w:sz w:val="20"/>
                <w:szCs w:val="20"/>
              </w:rPr>
              <w:t xml:space="preserve">iOS → web picker</w:t>
            </w:r>
          </w:p>
        </w:tc>
        <w:tc>
          <w:tcPr>
            <w:tcW w:type="dxa" w:w="34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On iOS, since there's no equivalent popup, scanning should land on a webpage where the customer taps their bank.</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iOS has no concept of a multi-app chooser for this kind of link at all — this has to be built as a fallback, not a feature.</w:t>
            </w:r>
          </w:p>
        </w:tc>
      </w:tr>
    </w:tbl>
    <w:p>
      <w:pPr>
        <w:spacing w:after="300"/>
      </w:pPr>
    </w:p>
    <w:p>
      <w:pPr>
        <w:spacing w:after="160"/>
      </w:pPr>
      <w:r>
        <w:rPr>
          <w:rFonts w:ascii="Calibri" w:cs="Calibri" w:eastAsia="Calibri" w:hAnsi="Calibri"/>
          <w:sz w:val="22"/>
          <w:szCs w:val="22"/>
        </w:rPr>
        <w:t xml:space="preserve">Solving all three simultaneously — not just one platform in isolation — is what makes this non-trivial, and it required directly testing several approaches on real devices to find out which assumptions about Android and iOS actually held true.</w:t>
      </w:r>
    </w:p>
    <w:p>
      <w:r>
        <w:br w:type="page"/>
      </w:r>
    </w:p>
    <w:p>
      <w:pPr>
        <w:pStyle w:val="Heading1"/>
        <w:spacing w:after="200" w:before="400"/>
      </w:pPr>
      <w:r>
        <w:t xml:space="preserve">Part 3 — The Approach</w:t>
      </w:r>
    </w:p>
    <w:p>
      <w:pPr>
        <w:pStyle w:val="Heading2"/>
        <w:spacing w:after="150" w:before="300"/>
      </w:pPr>
      <w:r>
        <w:t xml:space="preserve">In plain language</w:t>
      </w:r>
    </w:p>
    <w:p>
      <w:pPr>
        <w:spacing w:after="160"/>
      </w:pPr>
      <w:r>
        <w:rPr>
          <w:rFonts w:ascii="Calibri" w:cs="Calibri" w:eastAsia="Calibri" w:hAnsi="Calibri"/>
          <w:sz w:val="22"/>
          <w:szCs w:val="22"/>
        </w:rPr>
        <w:t xml:space="preserve">Everything starts from one link, encoded in the QR code, that looks like an ordinary website address (e.g. https://sgqr-deep-link-demo.onrender.com/pay/abc123). Neither Android nor iOS is told in advance which app should own that address. Because of that single decision, each phone's operating system reacts differently, entirely on its own:</w:t>
      </w:r>
    </w:p>
    <w:p>
      <w:pPr>
        <w:pStyle w:val="ListParagraph"/>
        <w:numPr>
          <w:ilvl w:val="0"/>
          <w:numId w:val="1"/>
        </w:numPr>
        <w:spacing w:after="90"/>
      </w:pPr>
      <w:r>
        <w:rPr>
          <w:rFonts w:ascii="Calibri" w:cs="Calibri" w:eastAsia="Calibri" w:hAnsi="Calibri"/>
          <w:sz w:val="22"/>
          <w:szCs w:val="22"/>
        </w:rPr>
        <w:t xml:space="preserve">On Android, since no app has proven it owns the address, the phone opens it in a normal web browser first. That page has one button — "Continue to pay" — and tapping it is what makes the native chooser appear.</w:t>
      </w:r>
    </w:p>
    <w:p>
      <w:pPr>
        <w:pStyle w:val="ListParagraph"/>
        <w:numPr>
          <w:ilvl w:val="0"/>
          <w:numId w:val="1"/>
        </w:numPr>
        <w:spacing w:after="90"/>
      </w:pPr>
      <w:r>
        <w:rPr>
          <w:rFonts w:ascii="Calibri" w:cs="Calibri" w:eastAsia="Calibri" w:hAnsi="Calibri"/>
          <w:sz w:val="22"/>
          <w:szCs w:val="22"/>
        </w:rPr>
        <w:t xml:space="preserve">On iOS, for the same reason, the phone opens Safari. Safari shows a webpage listing the three banks, and tapping one opens that bank's app directly.</w:t>
      </w:r>
    </w:p>
    <w:p>
      <w:pPr>
        <w:spacing w:after="160"/>
      </w:pPr>
      <w:r>
        <w:rPr>
          <w:rFonts w:ascii="Calibri" w:cs="Calibri" w:eastAsia="Calibri" w:hAnsi="Calibri"/>
          <w:sz w:val="22"/>
          <w:szCs w:val="22"/>
        </w:rPr>
        <w:t xml:space="preserve">So the entire platform difference comes from a single, deliberate choice — never registering ownership of the link — rather than from writing different code for each platform.</w:t>
      </w:r>
    </w:p>
    <w:p>
      <w:pPr>
        <w:pStyle w:val="Heading2"/>
        <w:spacing w:after="150" w:before="300"/>
      </w:pPr>
      <w:r>
        <w:t xml:space="preserve">In technical terms</w:t>
      </w:r>
    </w:p>
    <w:p>
      <w:pPr>
        <w:spacing w:after="160"/>
      </w:pPr>
      <w:r>
        <w:rPr>
          <w:rFonts w:ascii="Calibri" w:cs="Calibri" w:eastAsia="Calibri" w:hAnsi="Calibri"/>
          <w:sz w:val="22"/>
          <w:szCs w:val="22"/>
        </w:rPr>
        <w:t xml:space="preserve">The QR encodes exactly one URL, used identically on both platforms:</w:t>
      </w:r>
    </w:p>
    <w:p>
      <w:pPr>
        <w:spacing w:after="200"/>
      </w:pPr>
      <w:r>
        <w:rPr>
          <w:rFonts w:ascii="Courier New" w:cs="Courier New" w:eastAsia="Courier New" w:hAnsi="Courier New"/>
          <w:color w:val="065A82"/>
          <w:sz w:val="20"/>
          <w:szCs w:val="20"/>
        </w:rPr>
        <w:t xml:space="preserve">https://sgqr-deep-link-demo.onrender.com/pay/:token</w:t>
      </w:r>
    </w:p>
    <w:p>
      <w:pPr>
        <w:spacing w:after="160"/>
      </w:pPr>
      <w:r>
        <w:rPr>
          <w:rFonts w:ascii="Calibri" w:cs="Calibri" w:eastAsia="Calibri" w:hAnsi="Calibri"/>
          <w:sz w:val="22"/>
          <w:szCs w:val="22"/>
        </w:rPr>
        <w:t xml:space="preserve">Neither platform is told this domain belongs to any specific app — no Android App Links verification, no iOS Universal Links registration (both explained fully in Part 7). Because the link is unregistered:</w:t>
      </w:r>
    </w:p>
    <w:p>
      <w:pPr>
        <w:pStyle w:val="ListParagraph"/>
        <w:numPr>
          <w:ilvl w:val="0"/>
          <w:numId w:val="1"/>
        </w:numPr>
        <w:spacing w:after="90"/>
      </w:pPr>
      <w:r>
        <w:rPr>
          <w:rFonts w:ascii="Calibri" w:cs="Calibri" w:eastAsia="Calibri" w:hAnsi="Calibri"/>
          <w:sz w:val="22"/>
          <w:szCs w:val="22"/>
        </w:rPr>
        <w:t xml:space="preserve">Android defers to the user's default browser, per its own built-in policy for unverified links.</w:t>
      </w:r>
    </w:p>
    <w:p>
      <w:pPr>
        <w:pStyle w:val="ListParagraph"/>
        <w:numPr>
          <w:ilvl w:val="0"/>
          <w:numId w:val="1"/>
        </w:numPr>
        <w:spacing w:after="90"/>
      </w:pPr>
      <w:r>
        <w:rPr>
          <w:rFonts w:ascii="Calibri" w:cs="Calibri" w:eastAsia="Calibri" w:hAnsi="Calibri"/>
          <w:sz w:val="22"/>
          <w:szCs w:val="22"/>
        </w:rPr>
        <w:t xml:space="preserve">iOS falls through to Safari, since no apple-app-site-association file exists for this domain.</w:t>
      </w:r>
    </w:p>
    <w:p>
      <w:pPr>
        <w:spacing w:after="160"/>
      </w:pPr>
      <w:r>
        <w:rPr>
          <w:rFonts w:ascii="Calibri" w:cs="Calibri" w:eastAsia="Calibri" w:hAnsi="Calibri"/>
          <w:sz w:val="22"/>
          <w:szCs w:val="22"/>
        </w:rPr>
        <w:t xml:space="preserve">From there, each platform needs a different mechanism to actually reach a bank app:</w:t>
      </w:r>
    </w:p>
    <w:p>
      <w:pPr>
        <w:spacing w:after="120" w:before="240"/>
      </w:pPr>
      <w:r>
        <w:rPr>
          <w:rFonts w:ascii="Calibri" w:cs="Calibri" w:eastAsia="Calibri" w:hAnsi="Calibri"/>
          <w:b/>
          <w:bCs/>
          <w:color w:val="1C7293"/>
          <w:sz w:val="24"/>
          <w:szCs w:val="24"/>
        </w:rPr>
        <w:t xml:space="preserve">Android: browser → forced intent resolution</w:t>
      </w:r>
    </w:p>
    <w:p>
      <w:pPr>
        <w:spacing w:after="160"/>
      </w:pPr>
      <w:r>
        <w:rPr>
          <w:rFonts w:ascii="Calibri" w:cs="Calibri" w:eastAsia="Calibri" w:hAnsi="Calibri"/>
          <w:sz w:val="22"/>
          <w:szCs w:val="22"/>
        </w:rPr>
        <w:t xml:space="preserve">The webpage's "Continue to pay" button is a real, tappable link to a specially-crafted address using the intent:// syntax, targeting a scheme (sgqrpay://) that all 3 bank apps register but no browser can ever claim. Because no browser qualifies to open it, and 3 apps do, Android has no choice but to show its native chooser.</w:t>
      </w:r>
    </w:p>
    <w:p>
      <w:pPr>
        <w:spacing w:after="120" w:before="240"/>
      </w:pPr>
      <w:r>
        <w:rPr>
          <w:rFonts w:ascii="Calibri" w:cs="Calibri" w:eastAsia="Calibri" w:hAnsi="Calibri"/>
          <w:b/>
          <w:bCs/>
          <w:color w:val="1C7293"/>
          <w:sz w:val="24"/>
          <w:szCs w:val="24"/>
        </w:rPr>
        <w:t xml:space="preserve">iOS: Safari → custom scheme handoff</w:t>
      </w:r>
    </w:p>
    <w:p>
      <w:pPr>
        <w:spacing w:after="160"/>
      </w:pPr>
      <w:r>
        <w:rPr>
          <w:rFonts w:ascii="Calibri" w:cs="Calibri" w:eastAsia="Calibri" w:hAnsi="Calibri"/>
          <w:sz w:val="22"/>
          <w:szCs w:val="22"/>
        </w:rPr>
        <w:t xml:space="preserve">The webpage itself acts as the chooser — it fetches the payment details and displays a 4-per-row grid of bank tiles, one per bank (Apple's Wallet/Cash App-style tile layout, not a plain list). Each tile navigates to that bank's own individual custom scheme (e.g. bankademo://pay?token=...). iOS recognizes the scheme is claimed by an installed app and, after a system confirmation prompt, hands off to it directly. Note: iOS/Safari deliberately gives web pages no API to check in advance which apps are installed (Apple blocks this as an anti-fingerprinting measure), so all bank tiles are always shown, even ones not installed — tapping an uninstalled bank's tile simply does nothing observable, the same failure mode as any other unhandled custom-scheme link.</w:t>
      </w:r>
    </w:p>
    <w:p>
      <w:pPr>
        <w:spacing w:after="160"/>
      </w:pPr>
      <w:r>
        <w:rPr>
          <w:rFonts w:ascii="Calibri" w:cs="Calibri" w:eastAsia="Calibri" w:hAnsi="Calibri"/>
          <w:sz w:val="22"/>
          <w:szCs w:val="22"/>
        </w:rPr>
        <w:t xml:space="preserve">In both cases, the actual payment details (merchant name, amount) are never carried inside the link. The link only ever carries an opaque token; every screen fetches the real details fresh from the server before showing anything to the user.</w:t>
      </w:r>
    </w:p>
    <w:p>
      <w:pPr>
        <w:spacing w:after="200" w:before="120"/>
        <w:jc w:val="center"/>
      </w:pPr>
      <w:r>
        <w:drawing>
          <wp:inline distT="0" distB="0" distL="0" distR="0">
            <wp:extent cx="5715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752725"/>
                    </a:xfrm>
                    <a:prstGeom prst="rect">
                      <a:avLst/>
                    </a:prstGeom>
                  </pic:spPr>
                </pic:pic>
              </a:graphicData>
            </a:graphic>
          </wp:inline>
        </w:drawing>
      </w:r>
    </w:p>
    <w:p>
      <w:pPr>
        <w:spacing w:after="160"/>
      </w:pPr>
      <w:r>
        <w:rPr>
          <w:rFonts w:ascii="Calibri" w:cs="Calibri" w:eastAsia="Calibri" w:hAnsi="Calibri"/>
          <w:i/>
          <w:iCs/>
          <w:color w:val="5B6B79"/>
          <w:sz w:val="20"/>
          <w:szCs w:val="20"/>
        </w:rPr>
        <w:t xml:space="preserve">Both columns start from the identical QR code and end with a specific bank app open — the branching happens entirely inside each OS's own link-handling policy, not in any code this project controls.</w:t>
      </w:r>
    </w:p>
    <w:p>
      <w:r>
        <w:br w:type="page"/>
      </w:r>
    </w:p>
    <w:p>
      <w:pPr>
        <w:pStyle w:val="Heading1"/>
        <w:spacing w:after="200" w:before="400"/>
      </w:pPr>
      <w:r>
        <w:t xml:space="preserve">Part 4 — Why This Is the Best Solution</w:t>
      </w:r>
    </w:p>
    <w:p>
      <w:pPr>
        <w:spacing w:after="160"/>
      </w:pPr>
      <w:r>
        <w:rPr>
          <w:rFonts w:ascii="Calibri" w:cs="Calibri" w:eastAsia="Calibri" w:hAnsi="Calibri"/>
          <w:sz w:val="22"/>
          <w:szCs w:val="22"/>
        </w:rPr>
        <w:t xml:space="preserve">Several alternative approaches were considered and directly tested — not just theorized about — before settling on the current design. Each failed for a specific, confirmed reason: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4200"/>
        <w:gridCol w:w="2300"/>
      </w:tblGrid>
      <w:tr>
        <w:trPr>
          <w:tblHeader/>
        </w:trPr>
        <w:tc>
          <w:tcPr>
            <w:tcW w:type="dxa" w:w="29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Alternative</w:t>
            </w:r>
          </w:p>
        </w:tc>
        <w:tc>
          <w:tcPr>
            <w:tcW w:type="dxa" w:w="42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What actually happened when tested</w:t>
            </w:r>
          </w:p>
        </w:tc>
        <w:tc>
          <w:tcPr>
            <w:tcW w:type="dxa" w:w="23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Verdict</w:t>
            </w:r>
          </w:p>
        </w:tc>
      </w:tr>
      <w:tr>
        <w:tc>
          <w:tcPr>
            <w:tcW w:type="dxa" w:w="2900"/>
            <w:tcMar>
              <w:top w:type="dxa" w:w="100"/>
              <w:left w:type="dxa" w:w="120"/>
              <w:bottom w:type="dxa" w:w="100"/>
              <w:right w:type="dxa" w:w="120"/>
            </w:tcMar>
            <w:vAlign w:val="top"/>
          </w:tcPr>
          <w:p>
            <w:r>
              <w:rPr>
                <w:rFonts w:ascii="Calibri" w:cs="Calibri" w:eastAsia="Calibri" w:hAnsi="Calibri"/>
                <w:b/>
                <w:bCs/>
                <w:color w:val="1A2233"/>
                <w:sz w:val="20"/>
                <w:szCs w:val="20"/>
              </w:rPr>
              <w:t xml:space="preserve">Verify Android App Links + iOS Universal Links</w:t>
            </w:r>
          </w:p>
        </w:tc>
        <w:tc>
          <w:tcPr>
            <w:tcW w:type="dxa" w:w="42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Confirmed on real devices: both platforms silently open one app with zero prompt. Verification exists specifically to let the OS skip asking — feeding it 3 “equally valid” owners doesn’t produce a chooser, it just breaks the tie invisibly.</w:t>
            </w:r>
          </w:p>
        </w:tc>
        <w:tc>
          <w:tcPr>
            <w:tcW w:type="dxa" w:w="23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Rejected — destroys the choice entirely</w:t>
            </w:r>
          </w:p>
        </w:tc>
      </w:tr>
      <w:tr>
        <w:tc>
          <w:tcPr>
            <w:tcW w:type="dxa" w:w="29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Put a custom scheme directly in the QR code</w:t>
            </w:r>
          </w:p>
        </w:tc>
        <w:tc>
          <w:tcPr>
            <w:tcW w:type="dxa" w:w="42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iOS’s Camera app only recognizes a small allowlist of schemes (http, https, mailto, tel, wifi…) as actionable. A custom scheme would show as inert text. Even on Android, intent:// syntax is a Chrome-specific convention the OS itself can’t parse from a bare scan.</w:t>
            </w:r>
          </w:p>
        </w:tc>
        <w:tc>
          <w:tcPr>
            <w:tcW w:type="dxa" w:w="23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Rejected — breaks iOS scanning outright</w:t>
            </w:r>
          </w:p>
        </w:tc>
      </w:tr>
      <w:tr>
        <w:tc>
          <w:tcPr>
            <w:tcW w:type="dxa" w:w="2900"/>
            <w:tcMar>
              <w:top w:type="dxa" w:w="100"/>
              <w:left w:type="dxa" w:w="120"/>
              <w:bottom w:type="dxa" w:w="100"/>
              <w:right w:type="dxa" w:w="120"/>
            </w:tcMar>
            <w:vAlign w:val="top"/>
          </w:tcPr>
          <w:p>
            <w:r>
              <w:rPr>
                <w:rFonts w:ascii="Calibri" w:cs="Calibri" w:eastAsia="Calibri" w:hAnsi="Calibri"/>
                <w:b/>
                <w:bCs/>
                <w:color w:val="1A2233"/>
                <w:sz w:val="20"/>
                <w:szCs w:val="20"/>
              </w:rPr>
              <w:t xml:space="preserve">Skip the Android browser bounce entirely</w:t>
            </w:r>
          </w:p>
        </w:tc>
        <w:tc>
          <w:tcPr>
            <w:tcW w:type="dxa" w:w="42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Chrome requires a genuine user tap (real activation) to fire an intent:// navigation — a script-triggered redirect on page load is silently ignored. There is no way to automate this away.</w:t>
            </w:r>
          </w:p>
        </w:tc>
        <w:tc>
          <w:tcPr>
            <w:tcW w:type="dxa" w:w="23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Not possible — confirmed via direct testing</w:t>
            </w:r>
          </w:p>
        </w:tc>
      </w:tr>
      <w:tr>
        <w:tc>
          <w:tcPr>
            <w:tcW w:type="dxa" w:w="29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Unverified https:// QR + browser interstitial + shared intent:// scheme (current)</w:t>
            </w:r>
          </w:p>
        </w:tc>
        <w:tc>
          <w:tcPr>
            <w:tcW w:type="dxa" w:w="42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Confirmed working end-to-end on both platforms: a real native chooser on Android, a real web picker on iOS, with a single QR code and no verification of either domain.</w:t>
            </w:r>
          </w:p>
        </w:tc>
        <w:tc>
          <w:tcPr>
            <w:tcW w:type="dxa" w:w="23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Adopted — only approach meeting all 3 requirements</w:t>
            </w:r>
          </w:p>
        </w:tc>
      </w:tr>
    </w:tbl>
    <w:p>
      <w:pPr>
        <w:spacing w:after="3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BF3E8" w:val="clear"/>
            <w:tcMar>
              <w:top w:type="dxa" w:w="160"/>
              <w:left w:type="dxa" w:w="200"/>
              <w:bottom w:type="dxa" w:w="160"/>
              <w:right w:type="dxa" w:w="200"/>
            </w:tcMar>
          </w:tcPr>
          <w:p>
            <w:pPr>
              <w:spacing w:after="80"/>
            </w:pPr>
            <w:r>
              <w:rPr>
                <w:rFonts w:ascii="Calibri" w:cs="Calibri" w:eastAsia="Calibri" w:hAnsi="Calibri"/>
                <w:b/>
                <w:bCs/>
                <w:color w:val="8A5A00"/>
                <w:sz w:val="22"/>
                <w:szCs w:val="22"/>
              </w:rPr>
              <w:t xml:space="preserve">The key insight</w:t>
            </w:r>
          </w:p>
          <w:p>
            <w:r>
              <w:rPr>
                <w:rFonts w:ascii="Calibri" w:cs="Calibri" w:eastAsia="Calibri" w:hAnsi="Calibri"/>
                <w:color w:val="1A2233"/>
                <w:sz w:val="21"/>
                <w:szCs w:val="21"/>
              </w:rPr>
              <w:t xml:space="preserve">Android App Links and iOS Universal Links both exist to answer the question "is there a single, provable rightful owner of this link?" — and if the answer is yes, both platforms' entire purpose is to skip asking the user anything. Feeding either system 3 equally "valid" owners doesn't produce a chooser; it just makes the OS silently pick one, which is confirmed, tested behavior, not a guess. A chooser can only exist where that proof deliberately does not.</w:t>
            </w:r>
          </w:p>
        </w:tc>
      </w:tr>
    </w:tbl>
    <w:p>
      <w:pPr>
        <w:spacing w:after="200"/>
      </w:pPr>
    </w:p>
    <w:p>
      <w:pPr>
        <w:spacing w:after="160"/>
      </w:pPr>
      <w:r>
        <w:rPr>
          <w:rFonts w:ascii="Calibri" w:cs="Calibri" w:eastAsia="Calibri" w:hAnsi="Calibri"/>
          <w:sz w:val="22"/>
          <w:szCs w:val="22"/>
        </w:rPr>
        <w:t xml:space="preserve">Given the three constraints in Part 2 cannot be relaxed, and every simpler alternative has been shown to actively break one of them, the current unregistered-link design is not "a" solution among many — it is the only configuration under which all three constraints hold simultaneously on real devices.</w:t>
      </w:r>
    </w:p>
    <w:p>
      <w:r>
        <w:br w:type="page"/>
      </w:r>
    </w:p>
    <w:p>
      <w:pPr>
        <w:pStyle w:val="Heading1"/>
        <w:spacing w:after="200" w:before="400"/>
      </w:pPr>
      <w:r>
        <w:t xml:space="preserve">Part 5 — How It Works: The Website</w:t>
      </w:r>
    </w:p>
    <w:p>
      <w:pPr>
        <w:pStyle w:val="Heading2"/>
        <w:spacing w:after="150" w:before="300"/>
      </w:pPr>
      <w:r>
        <w:t xml:space="preserve">In plain language</w:t>
      </w:r>
    </w:p>
    <w:p>
      <w:pPr>
        <w:spacing w:after="160"/>
      </w:pPr>
      <w:r>
        <w:rPr>
          <w:rFonts w:ascii="Calibri" w:cs="Calibri" w:eastAsia="Calibri" w:hAnsi="Calibri"/>
          <w:sz w:val="22"/>
          <w:szCs w:val="22"/>
        </w:rPr>
        <w:t xml:space="preserve">The website has three jobs: create a payment and its QR code, show the payment details and let the customer pick a bank, and automatically notice once that payment has actually gone through — even if the customer switches away to a bank app and back.</w:t>
      </w:r>
    </w:p>
    <w:p>
      <w:pPr>
        <w:pStyle w:val="Heading2"/>
        <w:spacing w:after="150" w:before="300"/>
      </w:pPr>
      <w:r>
        <w:t xml:space="preserve">In technical terms</w:t>
      </w:r>
    </w:p>
    <w:p>
      <w:pPr>
        <w:spacing w:after="120" w:before="240"/>
      </w:pPr>
      <w:r>
        <w:rPr>
          <w:rFonts w:ascii="Calibri" w:cs="Calibri" w:eastAsia="Calibri" w:hAnsi="Calibri"/>
          <w:b/>
          <w:bCs/>
          <w:color w:val="1C7293"/>
          <w:sz w:val="24"/>
          <w:szCs w:val="24"/>
        </w:rPr>
        <w:t xml:space="preserve">Backend (Node.js / Express)</w:t>
      </w:r>
    </w:p>
    <w:p>
      <w:pPr>
        <w:pStyle w:val="ListParagraph"/>
        <w:numPr>
          <w:ilvl w:val="0"/>
          <w:numId w:val="1"/>
        </w:numPr>
        <w:spacing w:after="90"/>
      </w:pPr>
      <w:r>
        <w:rPr>
          <w:rFonts w:ascii="Calibri" w:cs="Calibri" w:eastAsia="Calibri" w:hAnsi="Calibri"/>
          <w:sz w:val="22"/>
          <w:szCs w:val="22"/>
        </w:rPr>
        <w:t xml:space="preserve">POST /api/payments — creates a payment record (merchant, amount) and mints a random token; returns a QR code image and the pay URL.</w:t>
      </w:r>
    </w:p>
    <w:p>
      <w:pPr>
        <w:pStyle w:val="ListParagraph"/>
        <w:numPr>
          <w:ilvl w:val="0"/>
          <w:numId w:val="1"/>
        </w:numPr>
        <w:spacing w:after="90"/>
      </w:pPr>
      <w:r>
        <w:rPr>
          <w:rFonts w:ascii="Calibri" w:cs="Calibri" w:eastAsia="Calibri" w:hAnsi="Calibri"/>
          <w:sz w:val="22"/>
          <w:szCs w:val="22"/>
        </w:rPr>
        <w:t xml:space="preserve">GET /api/payload/:token — returns the current state of a payment (merchant, amount, and whether it's been paid). Called by both the webpage and every bank app, always fetching fresh rather than trusting anything embedded in a link.</w:t>
      </w:r>
    </w:p>
    <w:p>
      <w:pPr>
        <w:pStyle w:val="ListParagraph"/>
        <w:numPr>
          <w:ilvl w:val="0"/>
          <w:numId w:val="1"/>
        </w:numPr>
        <w:spacing w:after="90"/>
      </w:pPr>
      <w:r>
        <w:rPr>
          <w:rFonts w:ascii="Calibri" w:cs="Calibri" w:eastAsia="Calibri" w:hAnsi="Calibri"/>
          <w:sz w:val="22"/>
          <w:szCs w:val="22"/>
        </w:rPr>
        <w:t xml:space="preserve">POST /api/payload/:token/pay — the single-use guarantee. Flips a payment from unpaid to paid in one uninterrupted step; the first caller succeeds, every subsequent caller is rejected.</w:t>
      </w:r>
    </w:p>
    <w:p>
      <w:pPr>
        <w:pStyle w:val="ListParagraph"/>
        <w:numPr>
          <w:ilvl w:val="0"/>
          <w:numId w:val="1"/>
        </w:numPr>
        <w:spacing w:after="90"/>
      </w:pPr>
      <w:r>
        <w:rPr>
          <w:rFonts w:ascii="Calibri" w:cs="Calibri" w:eastAsia="Calibri" w:hAnsi="Calibri"/>
          <w:sz w:val="22"/>
          <w:szCs w:val="22"/>
        </w:rPr>
        <w:t xml:space="preserve">Payment records live in memory only (a JavaScript Map) — acceptable for this simulation, not for production (see Part 8).</w:t>
      </w:r>
    </w:p>
    <w:p>
      <w:pPr>
        <w:spacing w:after="200" w:before="120"/>
        <w:jc w:val="center"/>
      </w:pPr>
      <w:r>
        <w:drawing>
          <wp:inline distT="0" distB="0" distL="0" distR="0">
            <wp:extent cx="5905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62175"/>
                    </a:xfrm>
                    <a:prstGeom prst="rect">
                      <a:avLst/>
                    </a:prstGeom>
                  </pic:spPr>
                </pic:pic>
              </a:graphicData>
            </a:graphic>
          </wp:inline>
        </w:drawing>
      </w:r>
    </w:p>
    <w:p>
      <w:pPr>
        <w:spacing w:after="160"/>
      </w:pPr>
      <w:r>
        <w:rPr>
          <w:rFonts w:ascii="Calibri" w:cs="Calibri" w:eastAsia="Calibri" w:hAnsi="Calibri"/>
          <w:i/>
          <w:iCs/>
          <w:color w:val="5B6B79"/>
          <w:sz w:val="20"/>
          <w:szCs w:val="20"/>
        </w:rPr>
        <w:t xml:space="preserve">This atomic check-then-flip is what makes the payment genuinely single-use even if two different bank apps somehow both try to approve the same token — there is no timing window in which both requests can read paid === false.</w:t>
      </w:r>
    </w:p>
    <w:p>
      <w:pPr>
        <w:spacing w:after="120" w:before="240"/>
      </w:pPr>
      <w:r>
        <w:rPr>
          <w:rFonts w:ascii="Calibri" w:cs="Calibri" w:eastAsia="Calibri" w:hAnsi="Calibri"/>
          <w:b/>
          <w:bCs/>
          <w:color w:val="1C7293"/>
          <w:sz w:val="24"/>
          <w:szCs w:val="24"/>
        </w:rPr>
        <w:t xml:space="preserve">The picker page (pay.html)</w:t>
      </w:r>
    </w:p>
    <w:p>
      <w:pPr>
        <w:pStyle w:val="ListParagraph"/>
        <w:numPr>
          <w:ilvl w:val="0"/>
          <w:numId w:val="1"/>
        </w:numPr>
        <w:spacing w:after="90"/>
      </w:pPr>
      <w:r>
        <w:rPr>
          <w:rFonts w:ascii="Calibri" w:cs="Calibri" w:eastAsia="Calibri" w:hAnsi="Calibri"/>
          <w:sz w:val="22"/>
          <w:szCs w:val="22"/>
        </w:rPr>
        <w:t xml:space="preserve">Detects whether it's running on Android (via the browser's user-agent string) and shows either the "Continue to pay" button (Android) or the grid of bank tiles, 4 per row (iOS/desktop).</w:t>
      </w:r>
    </w:p>
    <w:p>
      <w:pPr>
        <w:pStyle w:val="ListParagraph"/>
        <w:numPr>
          <w:ilvl w:val="0"/>
          <w:numId w:val="1"/>
        </w:numPr>
        <w:spacing w:after="90"/>
      </w:pPr>
      <w:r>
        <w:rPr>
          <w:rFonts w:ascii="Calibri" w:cs="Calibri" w:eastAsia="Calibri" w:hAnsi="Calibri"/>
          <w:sz w:val="22"/>
          <w:szCs w:val="22"/>
        </w:rPr>
        <w:t xml:space="preserve">Polls GET /api/payload/:token every 2 seconds, and immediately re-checks whenever the browser tab regains focus (e.g. after switching back from a bank app). The moment a payment is marked paid, the page automatically swaps its buttons for a "payment completed" message — no manual refresh required.</w:t>
      </w:r>
    </w:p>
    <w:p>
      <w:pPr>
        <w:pStyle w:val="ListParagraph"/>
        <w:numPr>
          <w:ilvl w:val="0"/>
          <w:numId w:val="1"/>
        </w:numPr>
        <w:spacing w:after="90"/>
      </w:pPr>
      <w:r>
        <w:rPr>
          <w:rFonts w:ascii="Calibri" w:cs="Calibri" w:eastAsia="Calibri" w:hAnsi="Calibri"/>
          <w:sz w:val="22"/>
          <w:szCs w:val="22"/>
        </w:rPr>
        <w:t xml:space="preserve">Sends X-Frame-Options: DENY and Content-Security-Policy: frame-ancestors 'none' on every response, preventing the page from being loaded inside a hidden iframe on another site (see clickjacking, Part 8).</w:t>
      </w:r>
    </w:p>
    <w:p>
      <w:r>
        <w:br w:type="page"/>
      </w:r>
    </w:p>
    <w:p>
      <w:pPr>
        <w:pStyle w:val="Heading1"/>
        <w:spacing w:after="200" w:before="400"/>
      </w:pPr>
      <w:r>
        <w:t xml:space="preserve">Part 6 — How It Works: The Apps</w:t>
      </w:r>
    </w:p>
    <w:p>
      <w:pPr>
        <w:pStyle w:val="Heading2"/>
        <w:spacing w:after="150" w:before="300"/>
      </w:pPr>
      <w:r>
        <w:t xml:space="preserve">In plain language</w:t>
      </w:r>
    </w:p>
    <w:p>
      <w:pPr>
        <w:spacing w:after="160"/>
      </w:pPr>
      <w:r>
        <w:rPr>
          <w:rFonts w:ascii="Calibri" w:cs="Calibri" w:eastAsia="Calibri" w:hAnsi="Calibri"/>
          <w:sz w:val="22"/>
          <w:szCs w:val="22"/>
        </w:rPr>
        <w:t xml:space="preserve">There are 3 separate, independently installable apps — Bank A, Bank B, and Bank C — not one app with a settings toggle. Each behaves identically in code, just with its own name, color, and identity, because a single app can't appear 3 times in Android's chooser dialog.</w:t>
      </w:r>
    </w:p>
    <w:p>
      <w:pPr>
        <w:pStyle w:val="Heading2"/>
        <w:spacing w:after="150" w:before="300"/>
      </w:pPr>
      <w:r>
        <w:t xml:space="preserve">In technical terms</w:t>
      </w:r>
    </w:p>
    <w:p>
      <w:pPr>
        <w:spacing w:after="120" w:before="240"/>
      </w:pPr>
      <w:r>
        <w:rPr>
          <w:rFonts w:ascii="Calibri" w:cs="Calibri" w:eastAsia="Calibri" w:hAnsi="Calibri"/>
          <w:b/>
          <w:bCs/>
          <w:color w:val="1C7293"/>
          <w:sz w:val="24"/>
          <w:szCs w:val="24"/>
        </w:rPr>
        <w:t xml:space="preserve">Three standalone Flutter projects</w:t>
      </w:r>
    </w:p>
    <w:p>
      <w:pPr>
        <w:pStyle w:val="ListParagraph"/>
        <w:numPr>
          <w:ilvl w:val="0"/>
          <w:numId w:val="1"/>
        </w:numPr>
        <w:spacing w:after="90"/>
      </w:pPr>
      <w:r>
        <w:rPr>
          <w:rFonts w:ascii="Calibri" w:cs="Calibri" w:eastAsia="Calibri" w:hAnsi="Calibri"/>
          <w:sz w:val="22"/>
          <w:szCs w:val="22"/>
        </w:rPr>
        <w:t xml:space="preserve">bank_app_a / bank_app_b / bank_app_c — each with its own Android application ID, iOS bundle ID, app icon, and custom URL scheme.</w:t>
      </w:r>
    </w:p>
    <w:p>
      <w:pPr>
        <w:pStyle w:val="ListParagraph"/>
        <w:numPr>
          <w:ilvl w:val="0"/>
          <w:numId w:val="1"/>
        </w:numPr>
        <w:spacing w:after="90"/>
      </w:pPr>
      <w:r>
        <w:rPr>
          <w:rFonts w:ascii="Calibri" w:cs="Calibri" w:eastAsia="Calibri" w:hAnsi="Calibri"/>
          <w:sz w:val="22"/>
          <w:szCs w:val="22"/>
        </w:rPr>
        <w:t xml:space="preserve">Source code (screens, deep-link handling, API calls) is duplicated across the 3 projects, not shared as a library — a fix made in one must be manually copied to the other two.</w:t>
      </w:r>
    </w:p>
    <w:p>
      <w:pPr>
        <w:spacing w:after="120" w:before="240"/>
      </w:pPr>
      <w:r>
        <w:rPr>
          <w:rFonts w:ascii="Calibri" w:cs="Calibri" w:eastAsia="Calibri" w:hAnsi="Calibri"/>
          <w:b/>
          <w:bCs/>
          <w:color w:val="1C7293"/>
          <w:sz w:val="24"/>
          <w:szCs w:val="24"/>
        </w:rPr>
        <w:t xml:space="preserve">Catching an incoming link</w:t>
      </w:r>
    </w:p>
    <w:p>
      <w:pPr>
        <w:pStyle w:val="ListParagraph"/>
        <w:numPr>
          <w:ilvl w:val="0"/>
          <w:numId w:val="1"/>
        </w:numPr>
        <w:spacing w:after="90"/>
      </w:pPr>
      <w:r>
        <w:rPr>
          <w:rFonts w:ascii="Calibri" w:cs="Calibri" w:eastAsia="Calibri" w:hAnsi="Calibri"/>
          <w:sz w:val="22"/>
          <w:szCs w:val="22"/>
        </w:rPr>
        <w:t xml:space="preserve">getInitialLink() — checked once at startup; covers the case where the link itself launched the app ("cold start").</w:t>
      </w:r>
    </w:p>
    <w:p>
      <w:pPr>
        <w:pStyle w:val="ListParagraph"/>
        <w:numPr>
          <w:ilvl w:val="0"/>
          <w:numId w:val="1"/>
        </w:numPr>
        <w:spacing w:after="90"/>
      </w:pPr>
      <w:r>
        <w:rPr>
          <w:rFonts w:ascii="Calibri" w:cs="Calibri" w:eastAsia="Calibri" w:hAnsi="Calibri"/>
          <w:sz w:val="22"/>
          <w:szCs w:val="22"/>
        </w:rPr>
        <w:t xml:space="preserve">uriLinkStream — a live subscription catching links that arrive while the app is already open or backgrounded ("warm start").</w:t>
      </w:r>
    </w:p>
    <w:p>
      <w:pPr>
        <w:pStyle w:val="ListParagraph"/>
        <w:numPr>
          <w:ilvl w:val="0"/>
          <w:numId w:val="1"/>
        </w:numPr>
        <w:spacing w:after="90"/>
      </w:pPr>
      <w:r>
        <w:rPr>
          <w:rFonts w:ascii="Calibri" w:cs="Calibri" w:eastAsia="Calibri" w:hAnsi="Calibri"/>
          <w:sz w:val="22"/>
          <w:szCs w:val="22"/>
        </w:rPr>
        <w:t xml:space="preserve">Time-windowed dedupe guard — both of the above can fire for the identical link on cold start, which without a guard opened the Confirm screen twice. A permanent "already seen this" guard was tried first, but that broke re-opening the same link later (e.g. after cancelling a payment) — fixed by only suppressing a repeat within 2 seconds of the last one.</w:t>
      </w:r>
    </w:p>
    <w:p>
      <w:pPr>
        <w:spacing w:after="120" w:before="240"/>
      </w:pPr>
      <w:r>
        <w:rPr>
          <w:rFonts w:ascii="Calibri" w:cs="Calibri" w:eastAsia="Calibri" w:hAnsi="Calibri"/>
          <w:b/>
          <w:bCs/>
          <w:color w:val="1C7293"/>
          <w:sz w:val="24"/>
          <w:szCs w:val="24"/>
        </w:rPr>
        <w:t xml:space="preserve">Confirming and approving a payment</w:t>
      </w:r>
    </w:p>
    <w:p>
      <w:pPr>
        <w:pStyle w:val="ListParagraph"/>
        <w:numPr>
          <w:ilvl w:val="0"/>
          <w:numId w:val="1"/>
        </w:numPr>
        <w:spacing w:after="90"/>
      </w:pPr>
      <w:r>
        <w:rPr>
          <w:rFonts w:ascii="Calibri" w:cs="Calibri" w:eastAsia="Calibri" w:hAnsi="Calibri"/>
          <w:sz w:val="22"/>
          <w:szCs w:val="22"/>
        </w:rPr>
        <w:t xml:space="preserve">On receiving a link, the app extracts the token and calls GET /api/payload/:token to fetch the real merchant/amount — never trusting anything else in the link itself.</w:t>
      </w:r>
    </w:p>
    <w:p>
      <w:pPr>
        <w:pStyle w:val="ListParagraph"/>
        <w:numPr>
          <w:ilvl w:val="0"/>
          <w:numId w:val="1"/>
        </w:numPr>
        <w:spacing w:after="90"/>
      </w:pPr>
      <w:r>
        <w:rPr>
          <w:rFonts w:ascii="Calibri" w:cs="Calibri" w:eastAsia="Calibri" w:hAnsi="Calibri"/>
          <w:sz w:val="22"/>
          <w:szCs w:val="22"/>
        </w:rPr>
        <w:t xml:space="preserve">Tapping Approve calls POST /api/payload/:token/pay. A success response deducts the amount from a simple in-memory balance and shows the Success screen; a 409 response (another bank already paid it) shows "already completed" instead.</w:t>
      </w:r>
    </w:p>
    <w:p>
      <w:pPr>
        <w:pStyle w:val="Heading2"/>
        <w:spacing w:after="150" w:before="300"/>
      </w:pPr>
      <w:r>
        <w:t xml:space="preserve">How the payload actually travels: token vs. data</w:t>
      </w:r>
    </w:p>
    <w:p>
      <w:pPr>
        <w:spacing w:after="160"/>
      </w:pPr>
      <w:r>
        <w:rPr>
          <w:rFonts w:ascii="Calibri" w:cs="Calibri" w:eastAsia="Calibri" w:hAnsi="Calibri"/>
          <w:sz w:val="22"/>
          <w:szCs w:val="22"/>
        </w:rPr>
        <w:t xml:space="preserve">A natural question: the dashboard page, the picker/"app drawer" webpage, and the bank app are three completely separate programs — how does the payment information get from one to the next? The short answer is that it doesn't. Only the token travels between them; the real payload (merchant name, amount) is independently re-fetched from the server at every single hop.</w:t>
      </w:r>
    </w:p>
    <w:p>
      <w:pPr>
        <w:spacing w:after="200" w:before="120"/>
        <w:jc w:val="center"/>
      </w:pPr>
      <w:r>
        <w:drawing>
          <wp:inline distT="0" distB="0" distL="0" distR="0">
            <wp:extent cx="5905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47950"/>
                    </a:xfrm>
                    <a:prstGeom prst="rect">
                      <a:avLst/>
                    </a:prstGeom>
                  </pic:spPr>
                </pic:pic>
              </a:graphicData>
            </a:graphic>
          </wp:inline>
        </w:drawing>
      </w:r>
    </w:p>
    <w:p>
      <w:pPr>
        <w:spacing w:after="160"/>
      </w:pPr>
      <w:r>
        <w:rPr>
          <w:rFonts w:ascii="Calibri" w:cs="Calibri" w:eastAsia="Calibri" w:hAnsi="Calibri"/>
          <w:i/>
          <w:iCs/>
          <w:color w:val="5B6B79"/>
          <w:sz w:val="20"/>
          <w:szCs w:val="20"/>
        </w:rPr>
        <w:t xml:space="preserve">The diagram above traces one payment across every hop. Solid arrows are the only thing that actually moves between pages/apps — a token, copied verbatim. Dashed arrows are independent server round-trips: the picker page and the bank app each call GET /api/payload/:token on their own, fresh, with no memory of any earlier screen.</w:t>
      </w:r>
    </w:p>
    <w:p>
      <w:pPr>
        <w:spacing w:after="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Hop</w:t>
            </w:r>
          </w:p>
        </w:tc>
        <w:tc>
          <w:tcPr>
            <w:tcW w:type="dxa" w:w="68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What actually happens</w:t>
            </w:r>
          </w:p>
        </w:tc>
      </w:tr>
      <w:tr>
        <w:tc>
          <w:tcPr>
            <w:tcW w:type="dxa" w:w="2600"/>
            <w:tcMar>
              <w:top w:type="dxa" w:w="100"/>
              <w:left w:type="dxa" w:w="120"/>
              <w:bottom w:type="dxa" w:w="100"/>
              <w:right w:type="dxa" w:w="120"/>
            </w:tcMar>
            <w:vAlign w:val="top"/>
          </w:tcPr>
          <w:p>
            <w:r>
              <w:rPr>
                <w:rFonts w:ascii="Calibri" w:cs="Calibri" w:eastAsia="Calibri" w:hAnsi="Calibri"/>
                <w:b/>
                <w:bCs/>
                <w:color w:val="1A2233"/>
                <w:sz w:val="20"/>
                <w:szCs w:val="20"/>
              </w:rPr>
              <w:t xml:space="preserve">1. Dashboard creates the payment</w:t>
            </w:r>
          </w:p>
        </w:tc>
        <w:tc>
          <w:tcPr>
            <w:tcW w:type="dxa" w:w="68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POST /api/payments stores merchant + amount in the server's in-memory store and returns a token. From this point on, the payload lives only on the server.</w:t>
            </w:r>
          </w:p>
        </w:tc>
      </w:tr>
      <w:tr>
        <w:tc>
          <w:tcPr>
            <w:tcW w:type="dxa" w:w="26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2. The QR code</w:t>
            </w:r>
          </w:p>
        </w:tc>
        <w:tc>
          <w:tcPr>
            <w:tcW w:type="dxa" w:w="68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Encodes only https://.../pay/:token — no merchant name, no amount, just the opaque token.</w:t>
            </w:r>
          </w:p>
        </w:tc>
      </w:tr>
      <w:tr>
        <w:tc>
          <w:tcPr>
            <w:tcW w:type="dxa" w:w="2600"/>
            <w:tcMar>
              <w:top w:type="dxa" w:w="100"/>
              <w:left w:type="dxa" w:w="120"/>
              <w:bottom w:type="dxa" w:w="100"/>
              <w:right w:type="dxa" w:w="120"/>
            </w:tcMar>
            <w:vAlign w:val="top"/>
          </w:tcPr>
          <w:p>
            <w:r>
              <w:rPr>
                <w:rFonts w:ascii="Calibri" w:cs="Calibri" w:eastAsia="Calibri" w:hAnsi="Calibri"/>
                <w:b/>
                <w:bCs/>
                <w:color w:val="1A2233"/>
                <w:sz w:val="20"/>
                <w:szCs w:val="20"/>
              </w:rPr>
              <w:t xml:space="preserve">3. Picker page (pay.html) loads</w:t>
            </w:r>
          </w:p>
        </w:tc>
        <w:tc>
          <w:tcPr>
            <w:tcW w:type="dxa" w:w="68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Reads the token out of its own URL, then calls GET /api/payload/:token to fetch merchant/amount fresh. This is a brand-new page load with no memory of the dashboard page at all.</w:t>
            </w:r>
          </w:p>
        </w:tc>
      </w:tr>
      <w:tr>
        <w:tc>
          <w:tcPr>
            <w:tcW w:type="dxa" w:w="26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4. Android's "Continue to pay" hop</w:t>
            </w:r>
          </w:p>
        </w:tc>
        <w:tc>
          <w:tcPr>
            <w:tcW w:type="dxa" w:w="68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identical token is copied into a new intent:// URL (scheme=sgqrpay). This is a hand-off of the identifier only, not the payment data.</w:t>
            </w:r>
          </w:p>
        </w:tc>
      </w:tr>
      <w:tr>
        <w:tc>
          <w:tcPr>
            <w:tcW w:type="dxa" w:w="2600"/>
            <w:tcMar>
              <w:top w:type="dxa" w:w="100"/>
              <w:left w:type="dxa" w:w="120"/>
              <w:bottom w:type="dxa" w:w="100"/>
              <w:right w:type="dxa" w:w="120"/>
            </w:tcMar>
            <w:vAlign w:val="top"/>
          </w:tcPr>
          <w:p>
            <w:r>
              <w:rPr>
                <w:rFonts w:ascii="Calibri" w:cs="Calibri" w:eastAsia="Calibri" w:hAnsi="Calibri"/>
                <w:b/>
                <w:bCs/>
                <w:color w:val="1A2233"/>
                <w:sz w:val="20"/>
                <w:szCs w:val="20"/>
              </w:rPr>
              <w:t xml:space="preserve">5. The bank app receives the link</w:t>
            </w:r>
          </w:p>
        </w:tc>
        <w:tc>
          <w:tcPr>
            <w:tcW w:type="dxa" w:w="68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app_links extracts the token from whichever URL shape arrived — a query parameter for a custom-scheme link, or the last path segment for a universal-link-style one.</w:t>
            </w:r>
          </w:p>
        </w:tc>
      </w:tr>
      <w:tr>
        <w:tc>
          <w:tcPr>
            <w:tcW w:type="dxa" w:w="26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6. The bank app confirms</w:t>
            </w:r>
          </w:p>
        </w:tc>
        <w:tc>
          <w:tcPr>
            <w:tcW w:type="dxa" w:w="68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Calls GET /api/payload/:token itself, independently, to populate its own Confirm screen — its own fresh fetch, not data passed down from any earlier screen.</w:t>
            </w:r>
          </w:p>
        </w:tc>
      </w:tr>
    </w:tbl>
    <w:p>
      <w:pPr>
        <w:spacing w:after="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8F5F0" w:val="clear"/>
            <w:tcMar>
              <w:top w:type="dxa" w:w="160"/>
              <w:left w:type="dxa" w:w="200"/>
              <w:bottom w:type="dxa" w:w="160"/>
              <w:right w:type="dxa" w:w="200"/>
            </w:tcMar>
          </w:tcPr>
          <w:p>
            <w:pPr>
              <w:spacing w:after="80"/>
            </w:pPr>
            <w:r>
              <w:rPr>
                <w:rFonts w:ascii="Calibri" w:cs="Calibri" w:eastAsia="Calibri" w:hAnsi="Calibri"/>
                <w:b/>
                <w:bCs/>
                <w:color w:val="0B3B44"/>
                <w:sz w:val="22"/>
                <w:szCs w:val="22"/>
              </w:rPr>
              <w:t xml:space="preserve">What actually persists</w:t>
            </w:r>
          </w:p>
          <w:p>
            <w:r>
              <w:rPr>
                <w:rFonts w:ascii="Calibri" w:cs="Calibri" w:eastAsia="Calibri" w:hAnsi="Calibri"/>
                <w:color w:val="1A2233"/>
                <w:sz w:val="21"/>
                <w:szCs w:val="21"/>
              </w:rPr>
              <w:t xml:space="preserve">Only the token persists — and it does so purely by being copied verbatim from URL to URL at each hop, never through any shared storage, cookie, or session. The real payload is single-source-of-truth in the backend's store and is re-fetched fresh by every participant, every time. Nothing beyond the token is ever trusted from a link itself, which is also why a tampered or guessed link can't be used to alter what a payment actually charges.</w:t>
            </w:r>
          </w:p>
        </w:tc>
      </w:tr>
    </w:tbl>
    <w:p>
      <w:r>
        <w:br w:type="page"/>
      </w:r>
    </w:p>
    <w:p>
      <w:pPr>
        <w:pStyle w:val="Heading1"/>
        <w:spacing w:after="200" w:before="400"/>
      </w:pPr>
      <w:r>
        <w:t xml:space="preserve">Part 7 — Technical Glossary</w:t>
      </w:r>
    </w:p>
    <w:p>
      <w:pPr>
        <w:spacing w:after="160"/>
      </w:pPr>
      <w:r>
        <w:rPr>
          <w:rFonts w:ascii="Calibri" w:cs="Calibri" w:eastAsia="Calibri" w:hAnsi="Calibri"/>
          <w:sz w:val="22"/>
          <w:szCs w:val="22"/>
        </w:rPr>
        <w:t xml:space="preserve">Every term below appears somewhere in this project's codebase, manifests, or configuration. Grouped by where it lives.</w:t>
      </w:r>
    </w:p>
    <w:p>
      <w:pPr>
        <w:pStyle w:val="Heading2"/>
        <w:spacing w:after="150" w:before="300"/>
      </w:pPr>
      <w:r>
        <w:t xml:space="preserve">Android — Manifest &amp; OS-Level Link Resolution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900"/>
      </w:tblGrid>
      <w:tr>
        <w:trPr>
          <w:tblHeader/>
        </w:trPr>
        <w:tc>
          <w:tcPr>
            <w:tcW w:type="dxa" w:w="22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Term</w:t>
            </w:r>
          </w:p>
        </w:tc>
        <w:tc>
          <w:tcPr>
            <w:tcW w:type="dxa" w:w="33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Where it lives</w:t>
            </w:r>
          </w:p>
        </w:tc>
        <w:tc>
          <w:tcPr>
            <w:tcW w:type="dxa" w:w="39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What it does</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AndroidManifest.xml</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bank_app_a/b/c/android/app/src/main/AndroidManifest.xml</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XML file every Android app ships declaring its components, permissions, and which links/schemes it responds to.</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Intent</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Android OS concept</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core “request” object Android uses for actions like “view this URL.” Tapping a link wraps it in a VIEW Intent and asks which installed app(s) can handle it.</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Intent-filter</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AndroidManifest.xml, inside &lt;activity&gt;</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 declaration of “this app can handle intents matching this pattern.” Each bank app has three: its own custom scheme, the shared https host, and the shared sgqrpay scheme.</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&lt;data&gt; attributes (scheme / host / pathPrefix)</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Inside each &lt;intent-filter&gt;</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actual match pattern, e.g. scheme="https" host="sgqr-deep-link-demo.onrender.com" pathPrefix="/pay".</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android.intent.category.BROWSABLE</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Inside each &lt;intent-filter&gt;</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Required category meaning “can be triggered by tapping a link,” not just launched from the home screen.</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android:autoVerify="true"</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Tested in AndroidManifest.xml, later removed</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Upgrades an intent-filter to request cryptographic verification of sole domain ownership. Removed because it silently defeats the chooser (see Risks).</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Disambiguation dialog / chooser</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Android OS behavior</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native “Open with…” popup shown when multiple apps could handle an Intent and none has exclusive verified ownership — this is the “app drawer” behavior.</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ResolverActivity</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Android OS internal component</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system component that is the chooser dialog. Confirmed directly via adb shell dumpsys package resolve-activity.</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ACTION_VIEW</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Android OS concept</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specific Intent action meaning “display/open this,” used for opening links.</w:t>
            </w:r>
          </w:p>
        </w:tc>
      </w:tr>
    </w:tbl>
    <w:p>
      <w:pPr>
        <w:spacing w:after="300"/>
      </w:pPr>
    </w:p>
    <w:p>
      <w:pPr>
        <w:pStyle w:val="Heading2"/>
        <w:spacing w:after="150" w:before="300"/>
      </w:pPr>
      <w:r>
        <w:t xml:space="preserve">Android — App Links Verification (tested, then reverted)</w:t>
      </w:r>
    </w:p>
    <w:p>
      <w:pPr>
        <w:spacing w:after="160"/>
      </w:pPr>
      <w:r>
        <w:rPr>
          <w:rFonts w:ascii="Calibri" w:cs="Calibri" w:eastAsia="Calibri" w:hAnsi="Calibri"/>
          <w:i/>
          <w:iCs/>
          <w:color w:val="5B6B79"/>
          <w:sz w:val="20"/>
          <w:szCs w:val="20"/>
        </w:rPr>
        <w:t xml:space="preserve">This mechanism was implemented, tested directly on-device, and then deliberately removed — see Part 4 for why.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900"/>
      </w:tblGrid>
      <w:tr>
        <w:trPr>
          <w:tblHeader/>
        </w:trPr>
        <w:tc>
          <w:tcPr>
            <w:tcW w:type="dxa" w:w="22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Term</w:t>
            </w:r>
          </w:p>
        </w:tc>
        <w:tc>
          <w:tcPr>
            <w:tcW w:type="dxa" w:w="33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Where it lives</w:t>
            </w:r>
          </w:p>
        </w:tc>
        <w:tc>
          <w:tcPr>
            <w:tcW w:type="dxa" w:w="39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What it does</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Android App Links</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Concept; tested then reverted</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Android’s verified deep-linking system — lets an app claim exclusive, cryptographically-proven ownership of a domain, skipping the browser and any dialog.</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Digital Asset Links / assetlinks.json</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Would be hosted at backend /.well-known/assetlinks.json</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JSON file listing which app package names + signing certificates are authorized to own a domain. Android fetches and checks this at install time.</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SHA-256 certificate fingerprint</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Generated via keytool -list -v, confirmed via apksigner verify</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unique hash of the key used to sign the APK — what assetlinks.json lists and what Android compares against the installed app’s real signature.</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Keystore (.jks) / keystore.properties</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sgqr-release-keystore.jks (repo root, gitignored)</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file holding the app’s real signing key, plus the properties file telling Gradle where to find it and its passwords.</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pm get-app-links (adb)</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Diagnostic command used during testing</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Directly queries Android’s verification state per app — confirmed all 3 apps showed “verified” for the domain during the experiment.</w:t>
            </w:r>
          </w:p>
        </w:tc>
      </w:tr>
    </w:tbl>
    <w:p>
      <w:pPr>
        <w:spacing w:after="300"/>
      </w:pPr>
    </w:p>
    <w:p>
      <w:pPr>
        <w:pStyle w:val="Heading2"/>
        <w:spacing w:after="150" w:before="300"/>
      </w:pPr>
      <w:r>
        <w:t xml:space="preserve">The Workaround That Makes Android's Chooser Appear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900"/>
      </w:tblGrid>
      <w:tr>
        <w:trPr>
          <w:tblHeader/>
        </w:trPr>
        <w:tc>
          <w:tcPr>
            <w:tcW w:type="dxa" w:w="22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Term</w:t>
            </w:r>
          </w:p>
        </w:tc>
        <w:tc>
          <w:tcPr>
            <w:tcW w:type="dxa" w:w="33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Where it lives</w:t>
            </w:r>
          </w:p>
        </w:tc>
        <w:tc>
          <w:tcPr>
            <w:tcW w:type="dxa" w:w="39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What it does</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intent:// URI scheme</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backend/public/pay.html</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 special non-standard URL syntax (intent://host/path#Intent;scheme=...;end) only Chrome/WebView know how to parse into a real Android Intent — lets a webpage force real Intent resolution instead of ordinary navigation.</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S.browser_fallback_url</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Inside the intent:// URI in pay.html</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Parameter telling Chrome “if no app can handle this, navigate here instead” — the graceful fallback back to the picker page.</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Shared custom scheme (sgqrpay://)</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Registered in all 3 apps’ AndroidManifest.xml</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 made-up scheme all 3 bank apps — and no browser — register. Because no browser can claim it, the 3-way ambiguity produces the real chooser.</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“Continue to pay” button</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backend/public/pay.html</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 real &lt;a href="intent://..."&gt; anchor. Must be a genuine user tap — Chrome only honors intent:// navigation from user-activated clicks, not automatic redirects.</w:t>
            </w:r>
          </w:p>
        </w:tc>
      </w:tr>
    </w:tbl>
    <w:p>
      <w:pPr>
        <w:spacing w:after="300"/>
      </w:pPr>
    </w:p>
    <w:p>
      <w:pPr>
        <w:pStyle w:val="Heading2"/>
        <w:spacing w:after="150" w:before="300"/>
      </w:pPr>
      <w:r>
        <w:t xml:space="preserve">iOS — Link Resolution &amp; Schemes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900"/>
      </w:tblGrid>
      <w:tr>
        <w:trPr>
          <w:tblHeader/>
        </w:trPr>
        <w:tc>
          <w:tcPr>
            <w:tcW w:type="dxa" w:w="22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Term</w:t>
            </w:r>
          </w:p>
        </w:tc>
        <w:tc>
          <w:tcPr>
            <w:tcW w:type="dxa" w:w="33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Where it lives</w:t>
            </w:r>
          </w:p>
        </w:tc>
        <w:tc>
          <w:tcPr>
            <w:tcW w:type="dxa" w:w="39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What it does</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Universal Links</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Apple platform concept (not used)</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Apple’s equivalent of Android App Links — lets a real https link open an app directly, if properly registered.</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apple-app-site-association (AASA)</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Would be hosted at /.well-known/apple-app-site-association — deliberately not hosted</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Apple’s equivalent of assetlinks.json — JSON listing which app (Team ID + bundle ID) owns a domain.</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Associated Domains entitlement</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Xcode capability (not added)</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iOS equivalent of autoVerify — an app capability required for an app to claim a domain via AASA.</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Custom URL scheme (bankademo:// etc.)</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ios/Runner/Info.plist (CFBundleURLTypes), driven by BANK_URL_SCHEME in Debug/Release.xcconfig</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Each bank app’s own individual scheme. This is what the picker page’s bank buttons navigate to.</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“Open in ‘Bank X’?” system prompt</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iOS OS behavior</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iOS’s confirmation dialog before handing off from Safari to an app via custom scheme — confirms a choice already made on the web page.</w:t>
            </w:r>
          </w:p>
        </w:tc>
      </w:tr>
    </w:tbl>
    <w:p>
      <w:pPr>
        <w:spacing w:after="300"/>
      </w:pPr>
    </w:p>
    <w:p>
      <w:pPr>
        <w:pStyle w:val="Heading2"/>
        <w:spacing w:after="150" w:before="300"/>
      </w:pPr>
      <w:r>
        <w:t xml:space="preserve">Backend / Web</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900"/>
      </w:tblGrid>
      <w:tr>
        <w:trPr>
          <w:tblHeader/>
        </w:trPr>
        <w:tc>
          <w:tcPr>
            <w:tcW w:type="dxa" w:w="22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Term</w:t>
            </w:r>
          </w:p>
        </w:tc>
        <w:tc>
          <w:tcPr>
            <w:tcW w:type="dxa" w:w="33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Where it lives</w:t>
            </w:r>
          </w:p>
        </w:tc>
        <w:tc>
          <w:tcPr>
            <w:tcW w:type="dxa" w:w="39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What it does</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Token</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backend/store.js, generated via nanoid</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Opaque random ID identifying one payment record — the only thing ever embedded in any link. Merchant/amount are always fetched fresh from the server.</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X-Frame-Options / Content-Security-Policy (frame-ancestors)</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backend/server.js response headers</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HTTP headers preventing the picker page from being embedded in a hidden iframe on another site — clickjacking protection.</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Atomic check-then-flip</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backend/server.js, POST /api/payload/:token/pay</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single-use payment guarantee: checks paid === false and sets it to true in one uninterruptible step, so two banks racing to approve can’t both succeed.</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Status polling</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backend/public/pay.html, checkStatus()</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picker page re-fetches the payload every 2 seconds and whenever the tab regains focus, so it flips itself to “completed” automatically once any bank app approves — no manual refresh needed.</w:t>
            </w:r>
          </w:p>
        </w:tc>
      </w:tr>
    </w:tbl>
    <w:p>
      <w:pPr>
        <w:spacing w:after="300"/>
      </w:pPr>
    </w:p>
    <w:p>
      <w:pPr>
        <w:pStyle w:val="Heading2"/>
        <w:spacing w:after="150" w:before="300"/>
      </w:pPr>
      <w:r>
        <w:t xml:space="preserve">Flutter App Internals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900"/>
      </w:tblGrid>
      <w:tr>
        <w:trPr>
          <w:tblHeader/>
        </w:trPr>
        <w:tc>
          <w:tcPr>
            <w:tcW w:type="dxa" w:w="22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Term</w:t>
            </w:r>
          </w:p>
        </w:tc>
        <w:tc>
          <w:tcPr>
            <w:tcW w:type="dxa" w:w="33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Where it lives</w:t>
            </w:r>
          </w:p>
        </w:tc>
        <w:tc>
          <w:tcPr>
            <w:tcW w:type="dxa" w:w="39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What it does</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app_links package</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lib/main.dart, pubspec.yaml</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Flutter library used to receive incoming deep links into the app.</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getInitialLink()</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lib/main.dart</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Checked once at startup — covers “cold start,” where the link itself launched the app.</w:t>
            </w:r>
          </w:p>
        </w:tc>
      </w:tr>
      <w:tr>
        <w:tc>
          <w:tcPr>
            <w:tcW w:type="dxa" w:w="2200"/>
            <w:tcMar>
              <w:top w:type="dxa" w:w="100"/>
              <w:left w:type="dxa" w:w="120"/>
              <w:bottom w:type="dxa" w:w="100"/>
              <w:right w:type="dxa" w:w="120"/>
            </w:tcMar>
            <w:vAlign w:val="top"/>
          </w:tcPr>
          <w:p>
            <w:r>
              <w:rPr>
                <w:rFonts w:ascii="Calibri" w:cs="Calibri" w:eastAsia="Calibri" w:hAnsi="Calibri"/>
                <w:b/>
                <w:bCs/>
                <w:color w:val="1A2233"/>
                <w:sz w:val="20"/>
                <w:szCs w:val="20"/>
              </w:rPr>
              <w:t xml:space="preserve">uriLinkStream</w:t>
            </w:r>
          </w:p>
        </w:tc>
        <w:tc>
          <w:tcPr>
            <w:tcW w:type="dxa" w:w="3300"/>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lib/main.dart</w:t>
            </w:r>
          </w:p>
        </w:tc>
        <w:tc>
          <w:tcPr>
            <w:tcW w:type="dxa" w:w="39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 live subscription firing while the app is already running (warm start / foregrounded).</w:t>
            </w:r>
          </w:p>
        </w:tc>
      </w:tr>
      <w:tr>
        <w:tc>
          <w:tcPr>
            <w:tcW w:type="dxa" w:w="22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Time-windowed dedupe guard</w:t>
            </w:r>
          </w:p>
        </w:tc>
        <w:tc>
          <w:tcPr>
            <w:tcW w:type="dxa" w:w="3300"/>
            <w:shd w:fill="F5F8FA" w:val="clear"/>
            <w:tcMar>
              <w:top w:type="dxa" w:w="100"/>
              <w:left w:type="dxa" w:w="120"/>
              <w:bottom w:type="dxa" w:w="100"/>
              <w:right w:type="dxa" w:w="120"/>
            </w:tcMar>
            <w:vAlign w:val="top"/>
          </w:tcPr>
          <w:p>
            <w:r>
              <w:rPr>
                <w:rFonts w:ascii="Calibri" w:cs="Calibri" w:eastAsia="Calibri" w:hAnsi="Calibri"/>
                <w:b w:val="false"/>
                <w:bCs w:val="false"/>
                <w:color w:val="5B6B79"/>
                <w:sz w:val="18"/>
                <w:szCs w:val="18"/>
              </w:rPr>
              <w:t xml:space="preserve">lib/main.dart, _handleUri()</w:t>
            </w:r>
          </w:p>
        </w:tc>
        <w:tc>
          <w:tcPr>
            <w:tcW w:type="dxa" w:w="39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Suppresses a repeat of the identical incoming link only if it arrives within 2 seconds of the last one — catches the cold-start double-emit without permanently blocking a legitimate later re-tap of the same link (e.g. after cancelling a payment).</w:t>
            </w:r>
          </w:p>
        </w:tc>
      </w:tr>
    </w:tbl>
    <w:p>
      <w:r>
        <w:br w:type="page"/>
      </w:r>
    </w:p>
    <w:p>
      <w:pPr>
        <w:pStyle w:val="Heading1"/>
        <w:spacing w:after="200" w:before="400"/>
      </w:pPr>
      <w:r>
        <w:t xml:space="preserve">Part 8 — Risks &amp; Mitigations</w:t>
      </w:r>
    </w:p>
    <w:p>
      <w:pPr>
        <w:spacing w:after="160"/>
      </w:pPr>
      <w:r>
        <w:rPr>
          <w:rFonts w:ascii="Calibri" w:cs="Calibri" w:eastAsia="Calibri" w:hAnsi="Calibri"/>
          <w:sz w:val="22"/>
          <w:szCs w:val="22"/>
        </w:rPr>
        <w:t xml:space="preserve">Risks inherent to this Android/iOS deep-linking approach, grouped by category. This reflects the current demo/simulation as built — several are acceptable for a demo but would need addressing before any production use. Resolved items are kept visible to show what was found and fixed during development, not hidden.</w:t>
      </w:r>
    </w:p>
    <w:p>
      <w:pPr>
        <w:spacing w:after="200"/>
      </w:pPr>
      <w:r>
        <w:rPr>
          <w:rFonts w:ascii="Calibri" w:cs="Calibri" w:eastAsia="Calibri" w:hAnsi="Calibri"/>
          <w:b/>
          <w:bCs/>
          <w:sz w:val="20"/>
          <w:szCs w:val="20"/>
        </w:rPr>
        <w:t xml:space="preserve">Severity:  </w:t>
      </w:r>
      <w:r>
        <w:rPr>
          <w:rFonts w:ascii="Calibri" w:cs="Calibri" w:eastAsia="Calibri" w:hAnsi="Calibri"/>
          <w:sz w:val="20"/>
          <w:szCs w:val="20"/>
          <w:shd w:fill="FBEAEA" w:val="clear"/>
        </w:rPr>
        <w:t xml:space="preserve">  High  </w:t>
      </w:r>
      <w:r>
        <w:rPr>
          <w:sz w:val="20"/>
          <w:szCs w:val="20"/>
        </w:rPr>
        <w:t xml:space="preserve">   </w:t>
      </w:r>
      <w:r>
        <w:rPr>
          <w:rFonts w:ascii="Calibri" w:cs="Calibri" w:eastAsia="Calibri" w:hAnsi="Calibri"/>
          <w:sz w:val="20"/>
          <w:szCs w:val="20"/>
          <w:shd w:fill="FBF3E8" w:val="clear"/>
        </w:rPr>
        <w:t xml:space="preserve">  Medium  </w:t>
      </w:r>
      <w:r>
        <w:rPr>
          <w:sz w:val="20"/>
          <w:szCs w:val="20"/>
        </w:rPr>
        <w:t xml:space="preserve">   </w:t>
      </w:r>
      <w:r>
        <w:rPr>
          <w:rFonts w:ascii="Calibri" w:cs="Calibri" w:eastAsia="Calibri" w:hAnsi="Calibri"/>
          <w:sz w:val="20"/>
          <w:szCs w:val="20"/>
          <w:shd w:fill="F5F8FA" w:val="clear"/>
        </w:rPr>
        <w:t xml:space="preserve">  Low  </w:t>
      </w:r>
      <w:r>
        <w:rPr>
          <w:sz w:val="20"/>
          <w:szCs w:val="20"/>
        </w:rPr>
        <w:t xml:space="preserve">   </w:t>
      </w:r>
      <w:r>
        <w:rPr>
          <w:rFonts w:ascii="Calibri" w:cs="Calibri" w:eastAsia="Calibri" w:hAnsi="Calibri"/>
          <w:sz w:val="20"/>
          <w:szCs w:val="20"/>
          <w:shd w:fill="E8F5F0" w:val="clear"/>
        </w:rPr>
        <w:t xml:space="preserve">  Resolved  </w:t>
      </w:r>
    </w:p>
    <w:p>
      <w:pPr>
        <w:pStyle w:val="Heading2"/>
        <w:spacing w:after="150" w:before="300"/>
      </w:pPr>
      <w:r>
        <w:t xml:space="preserve">Platform Behavior Risks</w:t>
      </w:r>
    </w:p>
    <w:p>
      <w:pPr>
        <w:spacing w:after="160"/>
      </w:pPr>
      <w:r>
        <w:rPr>
          <w:rFonts w:ascii="Calibri" w:cs="Calibri" w:eastAsia="Calibri" w:hAnsi="Calibri"/>
          <w:sz w:val="22"/>
          <w:szCs w:val="22"/>
        </w:rPr>
        <w:t xml:space="preserve">Risks arising from relying on OS-level link-resolution behavior that is not a stable, documented contract.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500"/>
      </w:tblGrid>
      <w:tr>
        <w:trPr>
          <w:tblHeader/>
        </w:trPr>
        <w:tc>
          <w:tcPr>
            <w:tcW w:type="dxa" w:w="25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Risk</w:t>
            </w:r>
          </w:p>
        </w:tc>
        <w:tc>
          <w:tcPr>
            <w:tcW w:type="dxa" w:w="34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Why it matters / failure scenario</w:t>
            </w:r>
          </w:p>
        </w:tc>
        <w:tc>
          <w:tcPr>
            <w:tcW w:type="dxa" w:w="35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Mitigation / current status</w:t>
            </w:r>
          </w:p>
        </w:tc>
      </w:tr>
      <w:tr>
        <w:tc>
          <w:tcPr>
            <w:tcW w:type="dxa" w:w="2500"/>
            <w:shd w:fill="FBF3E8"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Relies on undocumented Android OS policy</w:t>
            </w:r>
          </w:p>
        </w:tc>
        <w:tc>
          <w:tcPr>
            <w:tcW w:type="dxa" w:w="34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“defer unverified https links to the default browser” behavior is an internal Android policy, not a documented contract. Google could change it in a future Android version, silently breaking the chooser flow.</w:t>
            </w:r>
          </w:p>
        </w:tc>
        <w:tc>
          <w:tcPr>
            <w:tcW w:type="dxa" w:w="35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 mitigation possible beyond re-testing on each new Android release. This is an inherent fragility of relying on unverified-link fallback behavior rather than an official API.</w:t>
            </w:r>
          </w:p>
        </w:tc>
      </w:tr>
      <w:tr>
        <w:tc>
          <w:tcPr>
            <w:tcW w:type="dxa" w:w="2500"/>
            <w:shd w:fill="FBEAE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intent:// is a Chrome/WebView-specific convention</w:t>
            </w:r>
          </w:p>
        </w:tc>
        <w:tc>
          <w:tcPr>
            <w:tcW w:type="dxa" w:w="3400"/>
            <w:shd w:fill="FBEAE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Users with a different default browser (Firefox, Samsung Internet, Edge, Brave, etc.) may see the intent:// link fail silently, behave differently, or not trigger the chooser at all — this convention is not part of the Android platform, only Chromium-based browsers.</w:t>
            </w:r>
          </w:p>
        </w:tc>
        <w:tc>
          <w:tcPr>
            <w:tcW w:type="dxa" w:w="3500"/>
            <w:shd w:fill="FBEAE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Not currently tested against non-Chrome browsers. Would need explicit QA across the top Android default browsers before production use.</w:t>
            </w:r>
          </w:p>
        </w:tc>
      </w:tr>
      <w:tr>
        <w:tc>
          <w:tcPr>
            <w:tcW w:type="dxa" w:w="2500"/>
            <w:shd w:fill="FBF3E8"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Persistent “Always” selection silently skips the chooser</w:t>
            </w:r>
          </w:p>
        </w:tc>
        <w:tc>
          <w:tcPr>
            <w:tcW w:type="dxa" w:w="34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If a user taps “Always” for one bank in the chooser dialog, Android remembers that choice indefinitely. Future scans of the same or different payment QR codes will silently open that bank with no prompt, until manually cleared in Settings → Apps → Default apps.</w:t>
            </w:r>
          </w:p>
        </w:tc>
        <w:tc>
          <w:tcPr>
            <w:tcW w:type="dxa" w:w="35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None built in. A production version might need in-app guidance directing users to clear defaults, or accept this as expected one-time-choice behavior.</w:t>
            </w:r>
          </w:p>
        </w:tc>
      </w:tr>
      <w:tr>
        <w:tc>
          <w:tcPr>
            <w:tcW w:type="dxa" w:w="2500"/>
            <w:shd w:fill="FBF3E8"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OEM Android skins may behave differently</w:t>
            </w:r>
          </w:p>
        </w:tc>
        <w:tc>
          <w:tcPr>
            <w:tcW w:type="dxa" w:w="34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Samsung (One UI), Xiaomi (MIUI), Oppo/OnePlus (ColorOS/OxygenOS) and others are known to customize link-handling and default-app behavior beyond stock Android (AOSP). This project was tested on stock/near-stock Android; OEM-skinned devices are unverified.</w:t>
            </w:r>
          </w:p>
        </w:tc>
        <w:tc>
          <w:tcPr>
            <w:tcW w:type="dxa" w:w="35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 mitigation implemented. Would require a device lab or beta test across major OEM skins.</w:t>
            </w:r>
          </w:p>
        </w:tc>
      </w:tr>
      <w:tr>
        <w:tc>
          <w:tcPr>
            <w:tcW w:type="dxa" w:w="2500"/>
            <w:shd w:fill="FBEAE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iOS custom scheme has no uniqueness guarantee</w:t>
            </w:r>
          </w:p>
        </w:tc>
        <w:tc>
          <w:tcPr>
            <w:tcW w:type="dxa" w:w="3400"/>
            <w:shd w:fill="FBEAE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Unlike a verified Universal Link, nothing stops a second, unrelated app from registering the exact same custom scheme (e.g. bankademo://). Whichever app registered it wins in an OS-defined but not user-visible way — a real app could theoretically intercept another’s scheme.</w:t>
            </w:r>
          </w:p>
        </w:tc>
        <w:tc>
          <w:tcPr>
            <w:tcW w:type="dxa" w:w="3500"/>
            <w:shd w:fill="FBEAE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Not mitigated — inherent to using custom schemes instead of Universal Links. Apple explicitly recommends Universal Links over custom schemes for production apps for this reason.</w:t>
            </w:r>
          </w:p>
        </w:tc>
      </w:tr>
    </w:tbl>
    <w:p>
      <w:pPr>
        <w:spacing w:after="300"/>
      </w:pPr>
    </w:p>
    <w:p>
      <w:pPr>
        <w:pStyle w:val="Heading2"/>
        <w:spacing w:after="150" w:before="300"/>
      </w:pPr>
      <w:r>
        <w:t xml:space="preserve">Security Risks</w:t>
      </w:r>
    </w:p>
    <w:p>
      <w:pPr>
        <w:spacing w:after="160"/>
      </w:pPr>
      <w:r>
        <w:rPr>
          <w:rFonts w:ascii="Calibri" w:cs="Calibri" w:eastAsia="Calibri" w:hAnsi="Calibri"/>
          <w:sz w:val="22"/>
          <w:szCs w:val="22"/>
        </w:rPr>
        <w:t xml:space="preserve">Risks in the backend and payment-confirmation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500"/>
      </w:tblGrid>
      <w:tr>
        <w:trPr>
          <w:tblHeader/>
        </w:trPr>
        <w:tc>
          <w:tcPr>
            <w:tcW w:type="dxa" w:w="25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Risk</w:t>
            </w:r>
          </w:p>
        </w:tc>
        <w:tc>
          <w:tcPr>
            <w:tcW w:type="dxa" w:w="34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Why it matters / failure scenario</w:t>
            </w:r>
          </w:p>
        </w:tc>
        <w:tc>
          <w:tcPr>
            <w:tcW w:type="dxa" w:w="35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Mitigation / current status</w:t>
            </w:r>
          </w:p>
        </w:tc>
      </w:tr>
      <w:tr>
        <w:tc>
          <w:tcPr>
            <w:tcW w:type="dxa" w:w="2500"/>
            <w:shd w:fill="FBEAE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No proof-of-origin on the payment confirmation endpoint</w:t>
            </w:r>
          </w:p>
        </w:tc>
        <w:tc>
          <w:tcPr>
            <w:tcW w:type="dxa" w:w="3400"/>
            <w:shd w:fill="FBEAE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POST /api/payload/:token/pay accepts any request with a valid token and a bank name string — there is no signature, API key, or app attestation proving the request genuinely came from a legitimate signed bank app rather than a scripted HTTP client.</w:t>
            </w:r>
          </w:p>
        </w:tc>
        <w:tc>
          <w:tcPr>
            <w:tcW w:type="dxa" w:w="3500"/>
            <w:shd w:fill="FBEAE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Not implemented. A production system would need mutual TLS, signed app attestation (Play Integrity API / DeviceCheck), or a backend-issued session token per app install.</w:t>
            </w:r>
          </w:p>
        </w:tc>
      </w:tr>
      <w:tr>
        <w:tc>
          <w:tcPr>
            <w:tcW w:type="dxa" w:w="2500"/>
            <w:shd w:fill="E8F5F0"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Clickjacking (embedding the picker page in a hidden iframe)</w:t>
            </w:r>
          </w:p>
        </w:tc>
        <w:tc>
          <w:tcPr>
            <w:tcW w:type="dxa" w:w="3400"/>
            <w:shd w:fill="E8F5F0"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Without protection, a malicious site could overlay invisible bank buttons on top of its own UI, tricking a user into approving a payment without realizing it.</w:t>
            </w:r>
          </w:p>
        </w:tc>
        <w:tc>
          <w:tcPr>
            <w:tcW w:type="dxa" w:w="3500"/>
            <w:shd w:fill="E8F5F0"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Mitigated: every response sends X-Frame-Options: DENY and Content-Security-Policy: frame-ancestors 'none', verified live via a direct fetch() check against response headers. No legitimate use case requires this app to be framed.</w:t>
            </w:r>
          </w:p>
        </w:tc>
      </w:tr>
      <w:tr>
        <w:tc>
          <w:tcPr>
            <w:tcW w:type="dxa" w:w="2500"/>
            <w:shd w:fill="FBF3E8"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Tokens travel in plaintext, unencrypted URLs</w:t>
            </w:r>
          </w:p>
        </w:tc>
        <w:tc>
          <w:tcPr>
            <w:tcW w:type="dxa" w:w="34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The token is visible in browser history, clipboard managers, screenshots, and shared links. Anyone who obtains a live (unpaid) token before the legitimate user completes payment could attempt to interact with it.</w:t>
            </w:r>
          </w:p>
        </w:tc>
        <w:tc>
          <w:tcPr>
            <w:tcW w:type="dxa" w:w="35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Partially mitigated by single-use invalidation (see below) and the token being fetched-detail-only, not itself a bearer of money. No token expiry is currently implemented.</w:t>
            </w:r>
          </w:p>
        </w:tc>
      </w:tr>
      <w:tr>
        <w:tc>
          <w:tcPr>
            <w:tcW w:type="dxa" w:w="2500"/>
            <w:shd w:fill="FBF3E8"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No token expiry</w:t>
            </w:r>
          </w:p>
        </w:tc>
        <w:tc>
          <w:tcPr>
            <w:tcW w:type="dxa" w:w="34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 created payment token remains valid indefinitely until paid. A long-lived leaked token could still be acted upon long after the original QR was generated.</w:t>
            </w:r>
          </w:p>
        </w:tc>
        <w:tc>
          <w:tcPr>
            <w:tcW w:type="dxa" w:w="35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Not implemented. Should add a short TTL (e.g. 5–15 minutes) and reject /pay requests on expired tokens.</w:t>
            </w:r>
          </w:p>
        </w:tc>
      </w:tr>
      <w:tr>
        <w:tc>
          <w:tcPr>
            <w:tcW w:type="dxa" w:w="2500"/>
            <w:shd w:fill="FBF3E8"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No rate limiting on payment creation or confirmation endpoints</w:t>
            </w:r>
          </w:p>
        </w:tc>
        <w:tc>
          <w:tcPr>
            <w:tcW w:type="dxa" w:w="34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Both POST /api/payments and POST /api/payload/:token/pay can be called an unlimited number of times per second from any client, enabling token enumeration attempts or basic denial-of-service.</w:t>
            </w:r>
          </w:p>
        </w:tc>
        <w:tc>
          <w:tcPr>
            <w:tcW w:type="dxa" w:w="35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Not implemented. Would need per-IP/per-key rate limiting in production.</w:t>
            </w:r>
          </w:p>
        </w:tc>
      </w:tr>
      <w:tr>
        <w:tc>
          <w:tcPr>
            <w:tcW w:type="dxa" w:w="25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In-memory data store with no persistence</w:t>
            </w:r>
          </w:p>
        </w:tc>
        <w:tc>
          <w:tcPr>
            <w:tcW w:type="dxa" w:w="34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All payment records live in a JavaScript Map in server.js. A server restart or redeploy (which happens automatically on Render on every push) wipes all payment state, including which tokens were already paid.</w:t>
            </w:r>
          </w:p>
        </w:tc>
        <w:tc>
          <w:tcPr>
            <w:tcW w:type="dxa" w:w="35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Acceptable for a demo; not acceptable for production. Would need a real database with durable, audited records.</w:t>
            </w:r>
          </w:p>
        </w:tc>
      </w:tr>
      <w:tr>
        <w:tc>
          <w:tcPr>
            <w:tcW w:type="dxa" w:w="2500"/>
            <w:tcMar>
              <w:top w:type="dxa" w:w="100"/>
              <w:left w:type="dxa" w:w="120"/>
              <w:bottom w:type="dxa" w:w="100"/>
              <w:right w:type="dxa" w:w="120"/>
            </w:tcMar>
            <w:vAlign w:val="top"/>
          </w:tcPr>
          <w:p>
            <w:r>
              <w:rPr>
                <w:rFonts w:ascii="Calibri" w:cs="Calibri" w:eastAsia="Calibri" w:hAnsi="Calibri"/>
                <w:b/>
                <w:bCs/>
                <w:color w:val="1A2233"/>
                <w:sz w:val="20"/>
                <w:szCs w:val="20"/>
              </w:rPr>
              <w:t xml:space="preserve">Shared signing keystore across all 3 “competing” bank apps</w:t>
            </w:r>
          </w:p>
        </w:tc>
        <w:tc>
          <w:tcPr>
            <w:tcW w:type="dxa" w:w="34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In this simulation, all 3 bank apps are deliberately signed with the same demo keystore for convenience. In reality, 3 competing banks would never share a signing identity — this was only done to test Android App Link verification, and does not reflect how production apps would be provisioned.</w:t>
            </w:r>
          </w:p>
        </w:tc>
        <w:tc>
          <w:tcPr>
            <w:tcW w:type="dxa" w:w="35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Reverted along with the verification experiment; each app should have its own independent signing identity in any real deployment.</w:t>
            </w:r>
          </w:p>
        </w:tc>
      </w:tr>
    </w:tbl>
    <w:p>
      <w:pPr>
        <w:spacing w:after="200"/>
      </w:pPr>
    </w:p>
    <w:p>
      <w:pPr>
        <w:spacing w:after="200" w:before="120"/>
        <w:jc w:val="center"/>
      </w:pPr>
      <w:r>
        <w:drawing>
          <wp:inline distT="0" distB="0" distL="0" distR="0">
            <wp:extent cx="5905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943100"/>
                    </a:xfrm>
                    <a:prstGeom prst="rect">
                      <a:avLst/>
                    </a:prstGeom>
                  </pic:spPr>
                </pic:pic>
              </a:graphicData>
            </a:graphic>
          </wp:inline>
        </w:drawing>
      </w:r>
    </w:p>
    <w:p>
      <w:pPr>
        <w:spacing w:after="160"/>
      </w:pPr>
      <w:r>
        <w:rPr>
          <w:rFonts w:ascii="Calibri" w:cs="Calibri" w:eastAsia="Calibri" w:hAnsi="Calibri"/>
          <w:i/>
          <w:iCs/>
          <w:color w:val="5B6B79"/>
          <w:sz w:val="20"/>
          <w:szCs w:val="20"/>
        </w:rPr>
        <w:t xml:space="preserve">The clickjacking risk above is the one fully resolved, tested mitigation in this table — every other row is an open or accepted risk.</w:t>
      </w:r>
    </w:p>
    <w:p>
      <w:pPr>
        <w:spacing w:after="300"/>
      </w:pPr>
    </w:p>
    <w:p>
      <w:pPr>
        <w:pStyle w:val="Heading2"/>
        <w:spacing w:after="150" w:before="300"/>
      </w:pPr>
      <w:r>
        <w:t xml:space="preserve">UX / Consistency Risks (including resolved bugs)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500"/>
      </w:tblGrid>
      <w:tr>
        <w:trPr>
          <w:tblHeader/>
        </w:trPr>
        <w:tc>
          <w:tcPr>
            <w:tcW w:type="dxa" w:w="25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Risk</w:t>
            </w:r>
          </w:p>
        </w:tc>
        <w:tc>
          <w:tcPr>
            <w:tcW w:type="dxa" w:w="34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Why it matters / failure scenario</w:t>
            </w:r>
          </w:p>
        </w:tc>
        <w:tc>
          <w:tcPr>
            <w:tcW w:type="dxa" w:w="35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Mitigation / current status</w:t>
            </w:r>
          </w:p>
        </w:tc>
      </w:tr>
      <w:tr>
        <w:tc>
          <w:tcPr>
            <w:tcW w:type="dxa" w:w="2500"/>
            <w:shd w:fill="E8F5F0"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Cancelling a payment permanently blocked re-opening the same link</w:t>
            </w:r>
          </w:p>
        </w:tc>
        <w:tc>
          <w:tcPr>
            <w:tcW w:type="dxa" w:w="3400"/>
            <w:shd w:fill="E8F5F0"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 cold-start dedupe guard (added to stop the Confirm screen opening twice at launch) compared only the URI with no time limit, so tapping the same payment link again later — e.g. after pressing Cancel — was silently ignored forever.</w:t>
            </w:r>
          </w:p>
        </w:tc>
        <w:tc>
          <w:tcPr>
            <w:tcW w:type="dxa" w:w="3500"/>
            <w:shd w:fill="E8F5F0"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Fixed: the guard now only suppresses a repeat of the identical link within 2 seconds of the last one. Verified on both a physical Android device and iPhone: cancel, then re-open the same link, and the Confirm screen opens correctly.</w:t>
            </w:r>
          </w:p>
        </w:tc>
      </w:tr>
      <w:tr>
        <w:tc>
          <w:tcPr>
            <w:tcW w:type="dxa" w:w="2500"/>
            <w:shd w:fill="E8F5F0"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Picker webpage didn’t reflect completion in real time</w:t>
            </w:r>
          </w:p>
        </w:tc>
        <w:tc>
          <w:tcPr>
            <w:tcW w:type="dxa" w:w="3400"/>
            <w:shd w:fill="E8F5F0"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Originally, pay.html only checked payload.paid once at page load — if a payment completed in a bank app while the browser tab stayed open in the background, the tab never found out unless manually refreshed.</w:t>
            </w:r>
          </w:p>
        </w:tc>
        <w:tc>
          <w:tcPr>
            <w:tcW w:type="dxa" w:w="3500"/>
            <w:shd w:fill="E8F5F0"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Fixed: the page now polls the payload every 2 seconds and re-checks immediately on tab focus, automatically swapping the bank buttons for a “payment completed” message with no user action required. Verified live: marking a payment paid via a separate request flipped an already-open tab within the 2-second window.</w:t>
            </w:r>
          </w:p>
        </w:tc>
      </w:tr>
      <w:tr>
        <w:tc>
          <w:tcPr>
            <w:tcW w:type="dxa" w:w="2500"/>
            <w:tcMar>
              <w:top w:type="dxa" w:w="100"/>
              <w:left w:type="dxa" w:w="120"/>
              <w:bottom w:type="dxa" w:w="100"/>
              <w:right w:type="dxa" w:w="120"/>
            </w:tcMar>
            <w:vAlign w:val="top"/>
          </w:tcPr>
          <w:p>
            <w:r>
              <w:rPr>
                <w:rFonts w:ascii="Calibri" w:cs="Calibri" w:eastAsia="Calibri" w:hAnsi="Calibri"/>
                <w:b/>
                <w:bCs/>
                <w:color w:val="1A2233"/>
                <w:sz w:val="20"/>
                <w:szCs w:val="20"/>
              </w:rPr>
              <w:t xml:space="preserve">Android requires one extra tap that iOS does not</w:t>
            </w:r>
          </w:p>
        </w:tc>
        <w:tc>
          <w:tcPr>
            <w:tcW w:type="dxa" w:w="34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iOS reaches its picker page directly; Android must bounce through a browser interstitial and a manual “Continue to pay” tap before the chooser appears. This is a platform UX asymmetry a user might notice or find inconsistent.</w:t>
            </w:r>
          </w:p>
        </w:tc>
        <w:tc>
          <w:tcPr>
            <w:tcW w:type="dxa" w:w="35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Inherent to the approach — confirmed to be the only way to reach a real chooser on Android given the constraints. Could be softened with clearer visual design on the interstitial page.</w:t>
            </w:r>
          </w:p>
        </w:tc>
      </w:tr>
      <w:tr>
        <w:tc>
          <w:tcPr>
            <w:tcW w:type="dxa" w:w="25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No visible fallback if a bank app isn’t installed</w:t>
            </w:r>
          </w:p>
        </w:tc>
        <w:tc>
          <w:tcPr>
            <w:tcW w:type="dxa" w:w="34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A reactive “is this app installed” check (tap a tile, then see whether the page gets backgrounded within a timeout) was built and tested on a real iPhone. It proved unreliable: a failed custom-scheme navigation can still trigger a transient visibilitychange, so the page cannot distinguish “opened” from “failed to open”. Confirmed live by uninstalling a bank app and observing its tile did not gray out.</w:t>
            </w:r>
          </w:p>
        </w:tc>
        <w:tc>
          <w:tcPr>
            <w:tcW w:type="dxa" w:w="35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Detection logic was fully removed. All bank tiles are always shown on both platforms; tapping an uninstalled bank’s tile silently does nothing, the same as any unhandled custom-scheme link. Could redirect to an app store listing as a future improvement instead of attempting client-side detection.</w:t>
            </w:r>
          </w:p>
        </w:tc>
      </w:tr>
      <w:tr>
        <w:tc>
          <w:tcPr>
            <w:tcW w:type="dxa" w:w="2500"/>
            <w:shd w:fill="FBF3E8"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Behavior is highly device/OS/browser-version dependent</w:t>
            </w:r>
          </w:p>
        </w:tc>
        <w:tc>
          <w:tcPr>
            <w:tcW w:type="dxa" w:w="34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Every mechanism in this flow (default-browser policy, intent:// handling, chooser triggering) depends on specific OS and browser versions that can change independently of this codebase, making manual QA across real devices necessary before any release.</w:t>
            </w:r>
          </w:p>
        </w:tc>
        <w:tc>
          <w:tcPr>
            <w:tcW w:type="dxa" w:w="3500"/>
            <w:shd w:fill="FBF3E8"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Not automatable in CI given reliance on real OS/browser behavior; requires periodic manual re-verification, especially after major Android/Chrome or iOS/Safari updates.</w:t>
            </w:r>
          </w:p>
        </w:tc>
      </w:tr>
    </w:tbl>
    <w:p>
      <w:pPr>
        <w:spacing w:after="300"/>
      </w:pPr>
    </w:p>
    <w:p>
      <w:pPr>
        <w:pStyle w:val="Heading2"/>
        <w:spacing w:after="150" w:before="300"/>
      </w:pPr>
      <w:r>
        <w:t xml:space="preserve">Conceptual / Architectural Risks</w:t>
      </w:r>
    </w:p>
    <w:p>
      <w:pPr>
        <w:spacing w:after="160"/>
      </w:pPr>
      <w:r>
        <w:rPr>
          <w:rFonts w:ascii="Calibri" w:cs="Calibri" w:eastAsia="Calibri" w:hAnsi="Calibri"/>
          <w:sz w:val="22"/>
          <w:szCs w:val="22"/>
        </w:rPr>
        <w:t xml:space="preserve">Risks around how this simulation relates — or doesn't — to real-world payment systems.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500"/>
      </w:tblGrid>
      <w:tr>
        <w:trPr>
          <w:tblHeader/>
        </w:trPr>
        <w:tc>
          <w:tcPr>
            <w:tcW w:type="dxa" w:w="25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Risk</w:t>
            </w:r>
          </w:p>
        </w:tc>
        <w:tc>
          <w:tcPr>
            <w:tcW w:type="dxa" w:w="34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Why it matters / failure scenario</w:t>
            </w:r>
          </w:p>
        </w:tc>
        <w:tc>
          <w:tcPr>
            <w:tcW w:type="dxa" w:w="3500"/>
            <w:shd w:fill="21295C"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Mitigation / current status</w:t>
            </w:r>
          </w:p>
        </w:tc>
      </w:tr>
      <w:tr>
        <w:tc>
          <w:tcPr>
            <w:tcW w:type="dxa" w:w="2500"/>
            <w:tcMar>
              <w:top w:type="dxa" w:w="100"/>
              <w:left w:type="dxa" w:w="120"/>
              <w:bottom w:type="dxa" w:w="100"/>
              <w:right w:type="dxa" w:w="120"/>
            </w:tcMar>
            <w:vAlign w:val="top"/>
          </w:tcPr>
          <w:p>
            <w:r>
              <w:rPr>
                <w:rFonts w:ascii="Calibri" w:cs="Calibri" w:eastAsia="Calibri" w:hAnsi="Calibri"/>
                <w:b/>
                <w:bCs/>
                <w:color w:val="1A2233"/>
                <w:sz w:val="20"/>
                <w:szCs w:val="20"/>
              </w:rPr>
              <w:t xml:space="preserve">Doesn’t reflect how real multi-bank QR payments are routed</w:t>
            </w:r>
          </w:p>
        </w:tc>
        <w:tc>
          <w:tcPr>
            <w:tcW w:type="dxa" w:w="34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Real SGQR/PayNow-style systems typically resolve “which bank” through the payload/merchant configuration or a bank-selection step inside a single unified payment app, not by relying on the OS’s app-chooser dialog across independently owned bank apps.</w:t>
            </w:r>
          </w:p>
        </w:tc>
        <w:tc>
          <w:tcPr>
            <w:tcW w:type="dxa" w:w="3500"/>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None needed if the explicit goal is demonstrating deep-linking mechanics rather than replicating real payment-network architecture — worth stating clearly to any audience reviewing this as a reference.</w:t>
            </w:r>
          </w:p>
        </w:tc>
      </w:tr>
      <w:tr>
        <w:tc>
          <w:tcPr>
            <w:tcW w:type="dxa" w:w="2500"/>
            <w:shd w:fill="F5F8FA" w:val="clear"/>
            <w:tcMar>
              <w:top w:type="dxa" w:w="100"/>
              <w:left w:type="dxa" w:w="120"/>
              <w:bottom w:type="dxa" w:w="100"/>
              <w:right w:type="dxa" w:w="120"/>
            </w:tcMar>
            <w:vAlign w:val="top"/>
          </w:tcPr>
          <w:p>
            <w:r>
              <w:rPr>
                <w:rFonts w:ascii="Calibri" w:cs="Calibri" w:eastAsia="Calibri" w:hAnsi="Calibri"/>
                <w:b/>
                <w:bCs/>
                <w:color w:val="1A2233"/>
                <w:sz w:val="20"/>
                <w:szCs w:val="20"/>
              </w:rPr>
              <w:t xml:space="preserve">Verified App Links and Universal Links were evaluated and rejected for this use case</w:t>
            </w:r>
          </w:p>
        </w:tc>
        <w:tc>
          <w:tcPr>
            <w:tcW w:type="dxa" w:w="34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This project deliberately does NOT verify Android App Links or register iOS Universal Links, because doing so (confirmed via direct device testing) causes the OS to silently resolve to one app instead of presenting a choice. Any future maintainer might reasonably assume this is an omission.</w:t>
            </w:r>
          </w:p>
        </w:tc>
        <w:tc>
          <w:tcPr>
            <w:tcW w:type="dxa" w:w="3500"/>
            <w:shd w:fill="F5F8FA" w:val="clear"/>
            <w:tcMar>
              <w:top w:type="dxa" w:w="100"/>
              <w:left w:type="dxa" w:w="120"/>
              <w:bottom w:type="dxa" w:w="100"/>
              <w:right w:type="dxa" w:w="120"/>
            </w:tcMar>
            <w:vAlign w:val="top"/>
          </w:tcPr>
          <w:p>
            <w:r>
              <w:rPr>
                <w:rFonts w:ascii="Calibri" w:cs="Calibri" w:eastAsia="Calibri" w:hAnsi="Calibri"/>
                <w:b w:val="false"/>
                <w:bCs w:val="false"/>
                <w:color w:val="1A2233"/>
                <w:sz w:val="20"/>
                <w:szCs w:val="20"/>
              </w:rPr>
              <w:t xml:space="preserve">Documented in code comments (AndroidManifest.xml, server.js) and throughout this document. Any change reintroducing verification should be understood to remove the chooser/picker behavior entirely.</w:t>
            </w:r>
          </w:p>
        </w:tc>
      </w:tr>
    </w:tbl>
    <w:p>
      <w:r>
        <w:br w:type="page"/>
      </w:r>
    </w:p>
    <w:p>
      <w:pPr>
        <w:pStyle w:val="Heading1"/>
        <w:spacing w:after="200" w:before="400"/>
      </w:pPr>
      <w:r>
        <w:t xml:space="preserve">Part 9 — Other Deep-Linking Methods Demonstrated</w:t>
      </w:r>
    </w:p>
    <w:p>
      <w:pPr>
        <w:spacing w:after="160"/>
      </w:pPr>
      <w:r>
        <w:rPr>
          <w:rFonts w:ascii="Calibri" w:cs="Calibri" w:eastAsia="Calibri" w:hAnsi="Calibri"/>
          <w:color w:val="1A2233"/>
          <w:sz w:val="22"/>
          <w:szCs w:val="22"/>
        </w:rPr>
        <w:t xml:space="preserve">Beyond the unregistered-link approach used for the core Android/iOS scenario, five additional deep-linking mechanisms were built and tested as their own minimal, standalone Flutter apps, each with a dedicated backend route under /methods/&lt;name&gt;/:token. The goal was a complete, hands-on comparison — every mechanism's real behavior, including its real limitations, verified on physical devices rather than just described theoretically.</w:t>
      </w:r>
    </w:p>
    <w:p>
      <w:pPr>
        <w:spacing w:after="160"/>
      </w:pPr>
      <w:r>
        <w:rPr>
          <w:rFonts w:ascii="Calibri" w:cs="Calibri" w:eastAsia="Calibri" w:hAnsi="Calibri"/>
          <w:sz w:val="22"/>
          <w:szCs w:val="22"/>
        </w:rPr>
        <w:t xml:space="preserve">Each of the 5 apps is visually branded the same way as bank_app_a/b/c — its own home screen with a mock balance, a confirm/approve screen, launcher icon in its own accent color — and named “Bank 1” through “Bank 5” to keep the naming pattern consistent, even though each demonstrates a mechanism rather than a distinct bank. Each app's home screen also shows a colored badge stating which platform(s) it actually works on (“Android only,” “iOS only,” or “Android + iOS”) — a reminder that, unlike the shared QR/link used by Bank A/B/C, these 5 mechanisms are platform-specific by nature, with the single exception of Bank 5's clipboard-based deferred linking, which works identically on both.</w:t>
      </w:r>
    </w:p>
    <w:p>
      <w:pPr>
        <w:spacing w:after="200"/>
      </w:pP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200"/>
        <w:gridCol w:w="1200"/>
        <w:gridCol w:w="3500"/>
      </w:tblGrid>
      <w:tr>
        <w:trPr>
          <w:tblHeader/>
        </w:trPr>
        <w:tc>
          <w:tcPr>
            <w:tcW w:type="dxa" w:w="1500"/>
            <w:shd w:fill="21295C" w:val="clear"/>
            <w:tcMar>
              <w:top w:type="dxa" w:w="100"/>
              <w:left w:type="dxa" w:w="120"/>
              <w:bottom w:type="dxa" w:w="100"/>
              <w:right w:type="dxa" w:w="120"/>
            </w:tcMar>
            <w:vAlign w:val="top"/>
          </w:tcPr>
          <w:p>
            <w:pPr/>
            <w:r>
              <w:rPr>
                <w:rFonts w:ascii="Calibri" w:cs="Calibri" w:eastAsia="Calibri" w:hAnsi="Calibri"/>
                <w:b/>
                <w:bCs/>
                <w:color w:val="FFFFFF"/>
                <w:sz w:val="20"/>
                <w:szCs w:val="20"/>
              </w:rPr>
              <w:t xml:space="preserve">Method</w:t>
            </w:r>
          </w:p>
        </w:tc>
        <w:tc>
          <w:tcPr>
            <w:tcW w:type="dxa" w:w="2800"/>
            <w:shd w:fill="21295C" w:val="clear"/>
            <w:tcMar>
              <w:top w:type="dxa" w:w="100"/>
              <w:left w:type="dxa" w:w="120"/>
              <w:bottom w:type="dxa" w:w="100"/>
              <w:right w:type="dxa" w:w="120"/>
            </w:tcMar>
            <w:vAlign w:val="top"/>
          </w:tcPr>
          <w:p>
            <w:pPr/>
            <w:r>
              <w:rPr>
                <w:rFonts w:ascii="Calibri" w:cs="Calibri" w:eastAsia="Calibri" w:hAnsi="Calibri"/>
                <w:b/>
                <w:bCs/>
                <w:color w:val="FFFFFF"/>
                <w:sz w:val="20"/>
                <w:szCs w:val="20"/>
              </w:rPr>
              <w:t xml:space="preserve">How it works</w:t>
            </w:r>
          </w:p>
        </w:tc>
        <w:tc>
          <w:tcPr>
            <w:tcW w:type="dxa" w:w="2200"/>
            <w:shd w:fill="21295C" w:val="clear"/>
            <w:tcMar>
              <w:top w:type="dxa" w:w="100"/>
              <w:left w:type="dxa" w:w="120"/>
              <w:bottom w:type="dxa" w:w="100"/>
              <w:right w:type="dxa" w:w="120"/>
            </w:tcMar>
            <w:vAlign w:val="top"/>
          </w:tcPr>
          <w:p>
            <w:pPr/>
            <w:r>
              <w:rPr>
                <w:rFonts w:ascii="Calibri" w:cs="Calibri" w:eastAsia="Calibri" w:hAnsi="Calibri"/>
                <w:b/>
                <w:bCs/>
                <w:color w:val="FFFFFF"/>
                <w:sz w:val="20"/>
                <w:szCs w:val="20"/>
              </w:rPr>
              <w:t xml:space="preserve">Verification / proof required</w:t>
            </w:r>
          </w:p>
        </w:tc>
        <w:tc>
          <w:tcPr>
            <w:tcW w:type="dxa" w:w="1200"/>
            <w:shd w:fill="21295C" w:val="clear"/>
            <w:tcMar>
              <w:top w:type="dxa" w:w="100"/>
              <w:left w:type="dxa" w:w="120"/>
              <w:bottom w:type="dxa" w:w="100"/>
              <w:right w:type="dxa" w:w="120"/>
            </w:tcMar>
            <w:vAlign w:val="top"/>
          </w:tcPr>
          <w:p>
            <w:pPr/>
            <w:r>
              <w:rPr>
                <w:rFonts w:ascii="Calibri" w:cs="Calibri" w:eastAsia="Calibri" w:hAnsi="Calibri"/>
                <w:b/>
                <w:bCs/>
                <w:color w:val="FFFFFF"/>
                <w:sz w:val="20"/>
                <w:szCs w:val="20"/>
              </w:rPr>
              <w:t xml:space="preserve">Chooser bypassed?</w:t>
            </w:r>
          </w:p>
        </w:tc>
        <w:tc>
          <w:tcPr>
            <w:tcW w:type="dxa" w:w="3500"/>
            <w:shd w:fill="21295C" w:val="clear"/>
            <w:tcMar>
              <w:top w:type="dxa" w:w="100"/>
              <w:left w:type="dxa" w:w="120"/>
              <w:bottom w:type="dxa" w:w="100"/>
              <w:right w:type="dxa" w:w="120"/>
            </w:tcMar>
            <w:vAlign w:val="top"/>
          </w:tcPr>
          <w:p>
            <w:pPr/>
            <w:r>
              <w:rPr>
                <w:rFonts w:ascii="Calibri" w:cs="Calibri" w:eastAsia="Calibri" w:hAnsi="Calibri"/>
                <w:b/>
                <w:bCs/>
                <w:color w:val="FFFFFF"/>
                <w:sz w:val="20"/>
                <w:szCs w:val="20"/>
              </w:rPr>
              <w:t xml:space="preserve">Tested result</w:t>
            </w:r>
          </w:p>
        </w:tc>
      </w:tr>
      <w:tr>
        <w:tc>
          <w:tcPr>
            <w:tcW w:type="dxa" w:w="1500"/>
            <w:tcMar>
              <w:top w:type="dxa" w:w="100"/>
              <w:left w:type="dxa" w:w="120"/>
              <w:bottom w:type="dxa" w:w="100"/>
              <w:right w:type="dxa" w:w="120"/>
            </w:tcMar>
            <w:vAlign w:val="top"/>
          </w:tcPr>
          <w:p>
            <w:pPr/>
            <w:r>
              <w:rPr>
                <w:rFonts w:ascii="Calibri" w:cs="Calibri" w:eastAsia="Calibri" w:hAnsi="Calibri"/>
                <w:b/>
                <w:bCs/>
                <w:color w:val="1A2233"/>
                <w:sz w:val="20"/>
                <w:szCs w:val="20"/>
              </w:rPr>
              <w:t xml:space="preserve">Unregistered link (core approach — used by Bank A/B/C)</w:t>
            </w:r>
          </w:p>
        </w:tc>
        <w:tc>
          <w:tcPr>
            <w:tcW w:type="dxa" w:w="2800"/>
            <w:tcMar>
              <w:top w:type="dxa" w:w="100"/>
              <w:left w:type="dxa" w:w="120"/>
              <w:bottom w:type="dxa" w:w="100"/>
              <w:right w:type="dxa" w:w="120"/>
            </w:tcMar>
            <w:vAlign w:val="top"/>
          </w:tcPr>
          <w:p>
            <w:pPr/>
            <w:r>
              <w:rPr>
                <w:rFonts w:ascii="Calibri" w:cs="Calibri" w:eastAsia="Calibri" w:hAnsi="Calibri"/>
                <w:color w:val="1A2233"/>
                <w:sz w:val="20"/>
                <w:szCs w:val="20"/>
              </w:rPr>
              <w:t xml:space="preserve">QR encodes an unverified https link. Android defers to the browser then an intent:// forced chooser; iOS falls through to Safari's bank-tile grid.</w:t>
            </w:r>
          </w:p>
        </w:tc>
        <w:tc>
          <w:tcPr>
            <w:tcW w:type="dxa" w:w="2200"/>
            <w:tcMar>
              <w:top w:type="dxa" w:w="100"/>
              <w:left w:type="dxa" w:w="120"/>
              <w:bottom w:type="dxa" w:w="100"/>
              <w:right w:type="dxa" w:w="120"/>
            </w:tcMar>
            <w:vAlign w:val="top"/>
          </w:tcPr>
          <w:p>
            <w:pPr/>
            <w:r>
              <w:rPr>
                <w:rFonts w:ascii="Calibri" w:cs="Calibri" w:eastAsia="Calibri" w:hAnsi="Calibri"/>
                <w:color w:val="1A2233"/>
                <w:sz w:val="20"/>
                <w:szCs w:val="20"/>
              </w:rPr>
              <w:t xml:space="preserve">None.</w:t>
            </w:r>
          </w:p>
        </w:tc>
        <w:tc>
          <w:tcPr>
            <w:tcW w:type="dxa" w:w="1200"/>
            <w:tcMar>
              <w:top w:type="dxa" w:w="100"/>
              <w:left w:type="dxa" w:w="120"/>
              <w:bottom w:type="dxa" w:w="100"/>
              <w:right w:type="dxa" w:w="120"/>
            </w:tcMar>
            <w:vAlign w:val="top"/>
          </w:tcPr>
          <w:p>
            <w:pPr/>
            <w:r>
              <w:rPr>
                <w:rFonts w:ascii="Calibri" w:cs="Calibri" w:eastAsia="Calibri" w:hAnsi="Calibri"/>
                <w:color w:val="1A2233"/>
                <w:sz w:val="20"/>
                <w:szCs w:val="20"/>
              </w:rPr>
              <w:t xml:space="preserve">No — the chooser/picker is the whole point.</w:t>
            </w:r>
          </w:p>
        </w:tc>
        <w:tc>
          <w:tcPr>
            <w:tcW w:type="dxa" w:w="3500"/>
            <w:tcMar>
              <w:top w:type="dxa" w:w="100"/>
              <w:left w:type="dxa" w:w="120"/>
              <w:bottom w:type="dxa" w:w="100"/>
              <w:right w:type="dxa" w:w="120"/>
            </w:tcMar>
            <w:vAlign w:val="top"/>
          </w:tcPr>
          <w:p>
            <w:pPr/>
            <w:r>
              <w:rPr>
                <w:rFonts w:ascii="Calibri" w:cs="Calibri" w:eastAsia="Calibri" w:hAnsi="Calibri"/>
                <w:color w:val="1A2233"/>
                <w:sz w:val="20"/>
                <w:szCs w:val="20"/>
              </w:rPr>
              <w:t xml:space="preserve">Tested extensively across this project; working end to end on both platforms.</w:t>
            </w:r>
          </w:p>
        </w:tc>
      </w:tr>
      <w:tr>
        <w:tc>
          <w:tcPr>
            <w:tcW w:type="dxa" w:w="1500"/>
            <w:shd w:fill="F5F8FA" w:val="clear"/>
            <w:tcMar>
              <w:top w:type="dxa" w:w="100"/>
              <w:left w:type="dxa" w:w="120"/>
              <w:bottom w:type="dxa" w:w="100"/>
              <w:right w:type="dxa" w:w="120"/>
            </w:tcMar>
            <w:vAlign w:val="top"/>
          </w:tcPr>
          <w:p>
            <w:pPr/>
            <w:r>
              <w:rPr>
                <w:rFonts w:ascii="Calibri" w:cs="Calibri" w:eastAsia="Calibri" w:hAnsi="Calibri"/>
                <w:b/>
                <w:bCs/>
                <w:color w:val="1A2233"/>
                <w:sz w:val="20"/>
                <w:szCs w:val="20"/>
              </w:rPr>
              <w:t xml:space="preserve">Bank 1 — Verified Android App Links (method_applinks)</w:t>
            </w:r>
          </w:p>
        </w:tc>
        <w:tc>
          <w:tcPr>
            <w:tcW w:type="dxa" w:w="2800"/>
            <w:shd w:fill="F5F8FA" w:val="clear"/>
            <w:tcMar>
              <w:top w:type="dxa" w:w="100"/>
              <w:left w:type="dxa" w:w="120"/>
              <w:bottom w:type="dxa" w:w="100"/>
              <w:right w:type="dxa" w:w="120"/>
            </w:tcMar>
            <w:vAlign w:val="top"/>
          </w:tcPr>
          <w:p>
            <w:pPr/>
            <w:r>
              <w:rPr>
                <w:rFonts w:ascii="Calibri" w:cs="Calibri" w:eastAsia="Calibri" w:hAnsi="Calibri"/>
                <w:color w:val="1A2233"/>
                <w:sz w:val="20"/>
                <w:szCs w:val="20"/>
              </w:rPr>
              <w:t xml:space="preserve">android:autoVerify="true" plus a hosted assetlinks.json at /.well-known/assetlinks.json.</w:t>
            </w:r>
          </w:p>
        </w:tc>
        <w:tc>
          <w:tcPr>
            <w:tcW w:type="dxa" w:w="2200"/>
            <w:shd w:fill="F5F8FA" w:val="clear"/>
            <w:tcMar>
              <w:top w:type="dxa" w:w="100"/>
              <w:left w:type="dxa" w:w="120"/>
              <w:bottom w:type="dxa" w:w="100"/>
              <w:right w:type="dxa" w:w="120"/>
            </w:tcMar>
            <w:vAlign w:val="top"/>
          </w:tcPr>
          <w:p>
            <w:pPr/>
            <w:r>
              <w:rPr>
                <w:rFonts w:ascii="Calibri" w:cs="Calibri" w:eastAsia="Calibri" w:hAnsi="Calibri"/>
                <w:color w:val="1A2233"/>
                <w:sz w:val="20"/>
                <w:szCs w:val="20"/>
              </w:rPr>
              <w:t xml:space="preserve">Proof of domain ownership via the app's signing certificate fingerprint.</w:t>
            </w:r>
          </w:p>
        </w:tc>
        <w:tc>
          <w:tcPr>
            <w:tcW w:type="dxa" w:w="1200"/>
            <w:shd w:fill="F5F8FA" w:val="clear"/>
            <w:tcMar>
              <w:top w:type="dxa" w:w="100"/>
              <w:left w:type="dxa" w:w="120"/>
              <w:bottom w:type="dxa" w:w="100"/>
              <w:right w:type="dxa" w:w="120"/>
            </w:tcMar>
            <w:vAlign w:val="top"/>
          </w:tcPr>
          <w:p>
            <w:pPr/>
            <w:r>
              <w:rPr>
                <w:rFonts w:ascii="Calibri" w:cs="Calibri" w:eastAsia="Calibri" w:hAnsi="Calibri"/>
                <w:color w:val="1A2233"/>
                <w:sz w:val="20"/>
                <w:szCs w:val="20"/>
              </w:rPr>
              <w:t xml:space="preserve">Yes — chooser skipped entirely.</w:t>
            </w:r>
          </w:p>
        </w:tc>
        <w:tc>
          <w:tcPr>
            <w:tcW w:type="dxa" w:w="3500"/>
            <w:shd w:fill="F5F8FA" w:val="clear"/>
            <w:tcMar>
              <w:top w:type="dxa" w:w="100"/>
              <w:left w:type="dxa" w:w="120"/>
              <w:bottom w:type="dxa" w:w="100"/>
              <w:right w:type="dxa" w:w="120"/>
            </w:tcMar>
            <w:vAlign w:val="top"/>
          </w:tcPr>
          <w:p>
            <w:pPr/>
            <w:r>
              <w:rPr>
                <w:rFonts w:ascii="Calibri" w:cs="Calibri" w:eastAsia="Calibri" w:hAnsi="Calibri"/>
                <w:color w:val="1A2233"/>
                <w:sz w:val="20"/>
                <w:szCs w:val="20"/>
              </w:rPr>
              <w:t xml:space="preserve">Tested live on a real Android device: verified via adb shell pm get-app-links, link opened the app directly with zero prompt.</w:t>
            </w:r>
          </w:p>
        </w:tc>
      </w:tr>
      <w:tr>
        <w:tc>
          <w:tcPr>
            <w:tcW w:type="dxa" w:w="1500"/>
            <w:tcMar>
              <w:top w:type="dxa" w:w="100"/>
              <w:left w:type="dxa" w:w="120"/>
              <w:bottom w:type="dxa" w:w="100"/>
              <w:right w:type="dxa" w:w="120"/>
            </w:tcMar>
            <w:vAlign w:val="top"/>
          </w:tcPr>
          <w:p>
            <w:pPr/>
            <w:r>
              <w:rPr>
                <w:rFonts w:ascii="Calibri" w:cs="Calibri" w:eastAsia="Calibri" w:hAnsi="Calibri"/>
                <w:b/>
                <w:bCs/>
                <w:color w:val="1A2233"/>
                <w:sz w:val="20"/>
                <w:szCs w:val="20"/>
              </w:rPr>
              <w:t xml:space="preserve">Bank 2 — Verified iOS Universal Links (method_universallinks)</w:t>
            </w:r>
          </w:p>
        </w:tc>
        <w:tc>
          <w:tcPr>
            <w:tcW w:type="dxa" w:w="2800"/>
            <w:tcMar>
              <w:top w:type="dxa" w:w="100"/>
              <w:left w:type="dxa" w:w="120"/>
              <w:bottom w:type="dxa" w:w="100"/>
              <w:right w:type="dxa" w:w="120"/>
            </w:tcMar>
            <w:vAlign w:val="top"/>
          </w:tcPr>
          <w:p>
            <w:pPr/>
            <w:r>
              <w:rPr>
                <w:rFonts w:ascii="Calibri" w:cs="Calibri" w:eastAsia="Calibri" w:hAnsi="Calibri"/>
                <w:color w:val="1A2233"/>
                <w:sz w:val="20"/>
                <w:szCs w:val="20"/>
              </w:rPr>
              <w:t xml:space="preserve">Associated Domains entitlement plus a hosted apple-app-site-association at /.well-known/apple-app-site-association.</w:t>
            </w:r>
          </w:p>
        </w:tc>
        <w:tc>
          <w:tcPr>
            <w:tcW w:type="dxa" w:w="2200"/>
            <w:tcMar>
              <w:top w:type="dxa" w:w="100"/>
              <w:left w:type="dxa" w:w="120"/>
              <w:bottom w:type="dxa" w:w="100"/>
              <w:right w:type="dxa" w:w="120"/>
            </w:tcMar>
            <w:vAlign w:val="top"/>
          </w:tcPr>
          <w:p>
            <w:pPr/>
            <w:r>
              <w:rPr>
                <w:rFonts w:ascii="Calibri" w:cs="Calibri" w:eastAsia="Calibri" w:hAnsi="Calibri"/>
                <w:color w:val="1A2233"/>
                <w:sz w:val="20"/>
                <w:szCs w:val="20"/>
              </w:rPr>
              <w:t xml:space="preserve">Associated Domains capability, which requires a paid Apple Developer Program membership for real verification.</w:t>
            </w:r>
          </w:p>
        </w:tc>
        <w:tc>
          <w:tcPr>
            <w:tcW w:type="dxa" w:w="1200"/>
            <w:tcMar>
              <w:top w:type="dxa" w:w="100"/>
              <w:left w:type="dxa" w:w="120"/>
              <w:bottom w:type="dxa" w:w="100"/>
              <w:right w:type="dxa" w:w="120"/>
            </w:tcMar>
            <w:vAlign w:val="top"/>
          </w:tcPr>
          <w:p>
            <w:pPr/>
            <w:r>
              <w:rPr>
                <w:rFonts w:ascii="Calibri" w:cs="Calibri" w:eastAsia="Calibri" w:hAnsi="Calibri"/>
                <w:color w:val="1A2233"/>
                <w:sz w:val="20"/>
                <w:szCs w:val="20"/>
              </w:rPr>
              <w:t xml:space="preserve">Intended: yes.</w:t>
            </w:r>
          </w:p>
        </w:tc>
        <w:tc>
          <w:tcPr>
            <w:tcW w:type="dxa" w:w="3500"/>
            <w:tcMar>
              <w:top w:type="dxa" w:w="100"/>
              <w:left w:type="dxa" w:w="120"/>
              <w:bottom w:type="dxa" w:w="100"/>
              <w:right w:type="dxa" w:w="120"/>
            </w:tcMar>
            <w:vAlign w:val="top"/>
          </w:tcPr>
          <w:p>
            <w:pPr/>
            <w:r>
              <w:rPr>
                <w:rFonts w:ascii="Calibri" w:cs="Calibri" w:eastAsia="Calibri" w:hAnsi="Calibri"/>
                <w:color w:val="1A2233"/>
                <w:sz w:val="20"/>
                <w:szCs w:val="20"/>
              </w:rPr>
              <w:t xml:space="preserve">Tested on a real iPhone with a free Apple ID: entitlement was present in the signed binary (confirmed via codesign), but iOS never created the “Open Links” per-app Settings entry — verification never actually completed. Every test fell through to Safari with a manual “Open” banner instead of a silent handoff. A real, confirmed limitation of free-tier accounts, not a code bug.</w:t>
            </w:r>
          </w:p>
        </w:tc>
      </w:tr>
      <w:tr>
        <w:tc>
          <w:tcPr>
            <w:tcW w:type="dxa" w:w="1500"/>
            <w:shd w:fill="F5F8FA" w:val="clear"/>
            <w:tcMar>
              <w:top w:type="dxa" w:w="100"/>
              <w:left w:type="dxa" w:w="120"/>
              <w:bottom w:type="dxa" w:w="100"/>
              <w:right w:type="dxa" w:w="120"/>
            </w:tcMar>
            <w:vAlign w:val="top"/>
          </w:tcPr>
          <w:p>
            <w:pPr/>
            <w:r>
              <w:rPr>
                <w:rFonts w:ascii="Calibri" w:cs="Calibri" w:eastAsia="Calibri" w:hAnsi="Calibri"/>
                <w:b/>
                <w:bCs/>
                <w:color w:val="1A2233"/>
                <w:sz w:val="20"/>
                <w:szCs w:val="20"/>
              </w:rPr>
              <w:t xml:space="preserve">Bank 3 — iOS Smart App Banner (method_smartbanner)</w:t>
            </w:r>
          </w:p>
        </w:tc>
        <w:tc>
          <w:tcPr>
            <w:tcW w:type="dxa" w:w="2800"/>
            <w:shd w:fill="F5F8FA" w:val="clear"/>
            <w:tcMar>
              <w:top w:type="dxa" w:w="100"/>
              <w:left w:type="dxa" w:w="120"/>
              <w:bottom w:type="dxa" w:w="100"/>
              <w:right w:type="dxa" w:w="120"/>
            </w:tcMar>
            <w:vAlign w:val="top"/>
          </w:tcPr>
          <w:p>
            <w:pPr/>
            <w:r>
              <w:rPr>
                <w:rFonts w:ascii="Calibri" w:cs="Calibri" w:eastAsia="Calibri" w:hAnsi="Calibri"/>
                <w:color w:val="1A2233"/>
                <w:sz w:val="20"/>
                <w:szCs w:val="20"/>
              </w:rPr>
              <w:t xml:space="preserve">A &lt;meta name="apple-itunes-app"&gt; tag on a webpage, carrying an app-id and an app-argument.</w:t>
            </w:r>
          </w:p>
        </w:tc>
        <w:tc>
          <w:tcPr>
            <w:tcW w:type="dxa" w:w="2200"/>
            <w:shd w:fill="F5F8FA" w:val="clear"/>
            <w:tcMar>
              <w:top w:type="dxa" w:w="100"/>
              <w:left w:type="dxa" w:w="120"/>
              <w:bottom w:type="dxa" w:w="100"/>
              <w:right w:type="dxa" w:w="120"/>
            </w:tcMar>
            <w:vAlign w:val="top"/>
          </w:tcPr>
          <w:p>
            <w:pPr/>
            <w:r>
              <w:rPr>
                <w:rFonts w:ascii="Calibri" w:cs="Calibri" w:eastAsia="Calibri" w:hAnsi="Calibri"/>
                <w:color w:val="1A2233"/>
                <w:sz w:val="20"/>
                <w:szCs w:val="20"/>
              </w:rPr>
              <w:t xml:space="preserve">The app-id must match a real, published App Store listing — Apple validates this server-side, not just tag presence.</w:t>
            </w:r>
          </w:p>
        </w:tc>
        <w:tc>
          <w:tcPr>
            <w:tcW w:type="dxa" w:w="1200"/>
            <w:shd w:fill="F5F8FA" w:val="clear"/>
            <w:tcMar>
              <w:top w:type="dxa" w:w="100"/>
              <w:left w:type="dxa" w:w="120"/>
              <w:bottom w:type="dxa" w:w="100"/>
              <w:right w:type="dxa" w:w="120"/>
            </w:tcMar>
            <w:vAlign w:val="top"/>
          </w:tcPr>
          <w:p>
            <w:pPr/>
            <w:r>
              <w:rPr>
                <w:rFonts w:ascii="Calibri" w:cs="Calibri" w:eastAsia="Calibri" w:hAnsi="Calibri"/>
                <w:color w:val="1A2233"/>
                <w:sz w:val="20"/>
                <w:szCs w:val="20"/>
              </w:rPr>
              <w:t xml:space="preserve">No entitlement needed, but the banner cannot render at all without a real listing.</w:t>
            </w:r>
          </w:p>
        </w:tc>
        <w:tc>
          <w:tcPr>
            <w:tcW w:type="dxa" w:w="3500"/>
            <w:shd w:fill="F5F8FA" w:val="clear"/>
            <w:tcMar>
              <w:top w:type="dxa" w:w="100"/>
              <w:left w:type="dxa" w:w="120"/>
              <w:bottom w:type="dxa" w:w="100"/>
              <w:right w:type="dxa" w:w="120"/>
            </w:tcMar>
            <w:vAlign w:val="top"/>
          </w:tcPr>
          <w:p>
            <w:pPr/>
            <w:r>
              <w:rPr>
                <w:rFonts w:ascii="Calibri" w:cs="Calibri" w:eastAsia="Calibri" w:hAnsi="Calibri"/>
                <w:color w:val="1A2233"/>
                <w:sz w:val="20"/>
                <w:szCs w:val="20"/>
              </w:rPr>
              <w:t xml:space="preserve">Code and hosting confirmed correct and deployed, but the banner itself cannot appear for a sideloaded, unpublished app — a confirmed limitation, not testable further without publishing.</w:t>
            </w:r>
          </w:p>
        </w:tc>
      </w:tr>
      <w:tr>
        <w:tc>
          <w:tcPr>
            <w:tcW w:type="dxa" w:w="1500"/>
            <w:tcMar>
              <w:top w:type="dxa" w:w="100"/>
              <w:left w:type="dxa" w:w="120"/>
              <w:bottom w:type="dxa" w:w="100"/>
              <w:right w:type="dxa" w:w="120"/>
            </w:tcMar>
            <w:vAlign w:val="top"/>
          </w:tcPr>
          <w:p>
            <w:pPr/>
            <w:r>
              <w:rPr>
                <w:rFonts w:ascii="Calibri" w:cs="Calibri" w:eastAsia="Calibri" w:hAnsi="Calibri"/>
                <w:b/>
                <w:bCs/>
                <w:color w:val="1A2233"/>
                <w:sz w:val="20"/>
                <w:szCs w:val="20"/>
              </w:rPr>
              <w:t xml:space="preserve">Bank 4 — Android explicit-package intent (method_explicit_intent)</w:t>
            </w:r>
          </w:p>
        </w:tc>
        <w:tc>
          <w:tcPr>
            <w:tcW w:type="dxa" w:w="2800"/>
            <w:tcMar>
              <w:top w:type="dxa" w:w="100"/>
              <w:left w:type="dxa" w:w="120"/>
              <w:bottom w:type="dxa" w:w="100"/>
              <w:right w:type="dxa" w:w="120"/>
            </w:tcMar>
            <w:vAlign w:val="top"/>
          </w:tcPr>
          <w:p>
            <w:pPr/>
            <w:r>
              <w:rPr>
                <w:rFonts w:ascii="Calibri" w:cs="Calibri" w:eastAsia="Calibri" w:hAnsi="Calibri"/>
                <w:color w:val="1A2233"/>
                <w:sz w:val="20"/>
                <w:szCs w:val="20"/>
              </w:rPr>
              <w:t xml:space="preserve">An intent:// link with package=com.sgqrdemo.method_explicit_intent named directly, removing all ambiguity.</w:t>
            </w:r>
          </w:p>
        </w:tc>
        <w:tc>
          <w:tcPr>
            <w:tcW w:type="dxa" w:w="2200"/>
            <w:tcMar>
              <w:top w:type="dxa" w:w="100"/>
              <w:left w:type="dxa" w:w="120"/>
              <w:bottom w:type="dxa" w:w="100"/>
              <w:right w:type="dxa" w:w="120"/>
            </w:tcMar>
            <w:vAlign w:val="top"/>
          </w:tcPr>
          <w:p>
            <w:pPr/>
            <w:r>
              <w:rPr>
                <w:rFonts w:ascii="Calibri" w:cs="Calibri" w:eastAsia="Calibri" w:hAnsi="Calibri"/>
                <w:color w:val="1A2233"/>
                <w:sz w:val="20"/>
                <w:szCs w:val="20"/>
              </w:rPr>
              <w:t xml:space="preserve">None — the sender states the answer instead of the OS verifying it.</w:t>
            </w:r>
          </w:p>
        </w:tc>
        <w:tc>
          <w:tcPr>
            <w:tcW w:type="dxa" w:w="1200"/>
            <w:tcMar>
              <w:top w:type="dxa" w:w="100"/>
              <w:left w:type="dxa" w:w="120"/>
              <w:bottom w:type="dxa" w:w="100"/>
              <w:right w:type="dxa" w:w="120"/>
            </w:tcMar>
            <w:vAlign w:val="top"/>
          </w:tcPr>
          <w:p>
            <w:pPr/>
            <w:r>
              <w:rPr>
                <w:rFonts w:ascii="Calibri" w:cs="Calibri" w:eastAsia="Calibri" w:hAnsi="Calibri"/>
                <w:color w:val="1A2233"/>
                <w:sz w:val="20"/>
                <w:szCs w:val="20"/>
              </w:rPr>
              <w:t xml:space="preserve">Yes — chooser skipped unconditionally.</w:t>
            </w:r>
          </w:p>
        </w:tc>
        <w:tc>
          <w:tcPr>
            <w:tcW w:type="dxa" w:w="3500"/>
            <w:tcMar>
              <w:top w:type="dxa" w:w="100"/>
              <w:left w:type="dxa" w:w="120"/>
              <w:bottom w:type="dxa" w:w="100"/>
              <w:right w:type="dxa" w:w="120"/>
            </w:tcMar>
            <w:vAlign w:val="top"/>
          </w:tcPr>
          <w:p>
            <w:pPr/>
            <w:r>
              <w:rPr>
                <w:rFonts w:ascii="Calibri" w:cs="Calibri" w:eastAsia="Calibri" w:hAnsi="Calibri"/>
                <w:color w:val="1A2233"/>
                <w:sz w:val="20"/>
                <w:szCs w:val="20"/>
              </w:rPr>
              <w:t xml:space="preserve">Tested live on a real Android device via adb: opened directly, zero prompt, correct payload fetched. Trade-off: only works when the link's generator already knows which app should open it — the opposite of this project's “any of 3 banks” scenario.</w:t>
            </w:r>
          </w:p>
        </w:tc>
      </w:tr>
      <w:tr>
        <w:tc>
          <w:tcPr>
            <w:tcW w:type="dxa" w:w="1500"/>
            <w:shd w:fill="F5F8FA" w:val="clear"/>
            <w:tcMar>
              <w:top w:type="dxa" w:w="100"/>
              <w:left w:type="dxa" w:w="120"/>
              <w:bottom w:type="dxa" w:w="100"/>
              <w:right w:type="dxa" w:w="120"/>
            </w:tcMar>
            <w:vAlign w:val="top"/>
          </w:tcPr>
          <w:p>
            <w:pPr/>
            <w:r>
              <w:rPr>
                <w:rFonts w:ascii="Calibri" w:cs="Calibri" w:eastAsia="Calibri" w:hAnsi="Calibri"/>
                <w:b/>
                <w:bCs/>
                <w:color w:val="1A2233"/>
                <w:sz w:val="20"/>
                <w:szCs w:val="20"/>
              </w:rPr>
              <w:t xml:space="preserve">Bank 5 — Deferred deep linking (method_deferred)</w:t>
            </w:r>
          </w:p>
        </w:tc>
        <w:tc>
          <w:tcPr>
            <w:tcW w:type="dxa" w:w="2800"/>
            <w:shd w:fill="F5F8FA" w:val="clear"/>
            <w:tcMar>
              <w:top w:type="dxa" w:w="100"/>
              <w:left w:type="dxa" w:w="120"/>
              <w:bottom w:type="dxa" w:w="100"/>
              <w:right w:type="dxa" w:w="120"/>
            </w:tcMar>
            <w:vAlign w:val="top"/>
          </w:tcPr>
          <w:p>
            <w:pPr/>
            <w:r>
              <w:rPr>
                <w:rFonts w:ascii="Calibri" w:cs="Calibri" w:eastAsia="Calibri" w:hAnsi="Calibri"/>
                <w:color w:val="1A2233"/>
                <w:sz w:val="20"/>
                <w:szCs w:val="20"/>
              </w:rPr>
              <w:t xml:space="preserve">Real deferred linking relies on the App/Play Store carrying a click identifier through installation itself. Simulated here via a clipboard technique: the web fallback copies the destination URL before the (simulated) “install” step, and the app checks the clipboard once on first launch.</w:t>
            </w:r>
          </w:p>
        </w:tc>
        <w:tc>
          <w:tcPr>
            <w:tcW w:type="dxa" w:w="2200"/>
            <w:shd w:fill="F5F8FA" w:val="clear"/>
            <w:tcMar>
              <w:top w:type="dxa" w:w="100"/>
              <w:left w:type="dxa" w:w="120"/>
              <w:bottom w:type="dxa" w:w="100"/>
              <w:right w:type="dxa" w:w="120"/>
            </w:tcMar>
            <w:vAlign w:val="top"/>
          </w:tcPr>
          <w:p>
            <w:pPr/>
            <w:r>
              <w:rPr>
                <w:rFonts w:ascii="Calibri" w:cs="Calibri" w:eastAsia="Calibri" w:hAnsi="Calibri"/>
                <w:color w:val="1A2233"/>
                <w:sz w:val="20"/>
                <w:szCs w:val="20"/>
              </w:rPr>
              <w:t xml:space="preserve">None — a client-side simulation, not App Store-backed.</w:t>
            </w:r>
          </w:p>
        </w:tc>
        <w:tc>
          <w:tcPr>
            <w:tcW w:type="dxa" w:w="1200"/>
            <w:shd w:fill="F5F8FA" w:val="clear"/>
            <w:tcMar>
              <w:top w:type="dxa" w:w="100"/>
              <w:left w:type="dxa" w:w="120"/>
              <w:bottom w:type="dxa" w:w="100"/>
              <w:right w:type="dxa" w:w="120"/>
            </w:tcMar>
            <w:vAlign w:val="top"/>
          </w:tcPr>
          <w:p>
            <w:pPr/>
            <w:r>
              <w:rPr>
                <w:rFonts w:ascii="Calibri" w:cs="Calibri" w:eastAsia="Calibri" w:hAnsi="Calibri"/>
                <w:color w:val="1A2233"/>
                <w:sz w:val="20"/>
                <w:szCs w:val="20"/>
              </w:rPr>
              <w:t xml:space="preserve">N/A — this method is about post-install content routing, not chooser behavior.</w:t>
            </w:r>
          </w:p>
        </w:tc>
        <w:tc>
          <w:tcPr>
            <w:tcW w:type="dxa" w:w="3500"/>
            <w:shd w:fill="F5F8FA" w:val="clear"/>
            <w:tcMar>
              <w:top w:type="dxa" w:w="100"/>
              <w:left w:type="dxa" w:w="120"/>
              <w:bottom w:type="dxa" w:w="100"/>
              <w:right w:type="dxa" w:w="120"/>
            </w:tcMar>
            <w:vAlign w:val="top"/>
          </w:tcPr>
          <w:p>
            <w:pPr/>
            <w:r>
              <w:rPr>
                <w:rFonts w:ascii="Calibri" w:cs="Calibri" w:eastAsia="Calibri" w:hAnsi="Calibri"/>
                <w:color w:val="1A2233"/>
                <w:sz w:val="20"/>
                <w:szCs w:val="20"/>
              </w:rPr>
              <w:t xml:space="preserve">Tested live on both a real Android device and a real iPhone: correctly recovered the token, merchant, and amount from the clipboard on first launch on both platforms.</w:t>
            </w:r>
          </w:p>
        </w:tc>
      </w:tr>
    </w:tbl>
    <w:p>
      <w:pPr>
        <w:spacing w:after="200"/>
      </w:pPr>
    </w:p>
    <w:tbl>
      <w:tblPr>
        <w:tblW w:type="dxa" w:w="9400"/>
      </w:tblPr>
      <w:tblGrid>
        <w:gridCol w:w="9400"/>
      </w:tblGrid>
      <w:tr>
        <w:tc>
          <w:tcPr>
            <w:tcW w:type="dxa" w:w="9400"/>
            <w:shd w:fill="FBF3E8" w:val="clear"/>
            <w:tcMar>
              <w:top w:type="dxa" w:w="160"/>
              <w:left w:type="dxa" w:w="200"/>
              <w:bottom w:type="dxa" w:w="160"/>
              <w:right w:type="dxa" w:w="200"/>
            </w:tcMar>
          </w:tcPr>
          <w:p>
            <w:pPr>
              <w:spacing w:after="80"/>
            </w:pPr>
            <w:r>
              <w:rPr>
                <w:rFonts w:ascii="Calibri" w:cs="Calibri" w:eastAsia="Calibri" w:hAnsi="Calibri"/>
                <w:b/>
                <w:bCs/>
                <w:color w:val="8A5A00"/>
                <w:sz w:val="22"/>
                <w:szCs w:val="22"/>
              </w:rPr>
              <w:t xml:space="preserve">Why this matters</w:t>
            </w:r>
          </w:p>
          <w:p>
            <w:r>
              <w:rPr>
                <w:rFonts w:ascii="Calibri" w:cs="Calibri" w:eastAsia="Calibri" w:hAnsi="Calibri"/>
                <w:color w:val="1A2233"/>
                <w:sz w:val="21"/>
                <w:szCs w:val="21"/>
              </w:rPr>
              <w:t xml:space="preserve">Two of these methods (Verified Universal Links and the Smart App Banner) look correct in code and configuration but cannot fully succeed in this project's environment — not due to a bug, but because of real platform requirements (a paid Apple Developer account, and a published App Store listing) that a sideloaded demo cannot meet. Documenting that distinction — “correct but blocked by an external requirement” versus “broken” — is itself one of the more useful outcomes of building all five.</w:t>
            </w:r>
          </w:p>
        </w:tc>
      </w:tr>
    </w:tbl>
    <w:p>
      <w:pPr>
        <w:pStyle w:val="Heading2"/>
        <w:spacing w:after="150" w:before="300"/>
      </w:pPr>
      <w:r>
        <w:t xml:space="preserve">Cross-Platform Verification: Confirmed Live, Not Just Claimed</w:t>
      </w:r>
    </w:p>
    <w:p>
      <w:pPr>
        <w:spacing w:after="160"/>
      </w:pPr>
      <w:r>
        <w:rPr>
          <w:rFonts w:ascii="Calibri" w:cs="Calibri" w:eastAsia="Calibri" w:hAnsi="Calibri"/>
          <w:color w:val="1A2233"/>
          <w:sz w:val="22"/>
          <w:szCs w:val="22"/>
        </w:rPr>
        <w:t xml:space="preserve">Every platform-compatibility badge shown in each app was independently verified by installing that app on the “wrong” platform too and confirming what actually happens when the same link is tapped there. No code changes were needed to produce these results — each Android-only app already declares zero iOS URL space, and each iOS-only app already declares zero Android intent-filter, so the negative case falls out naturally rather than needing to be specially engineered.</w:t>
      </w:r>
    </w:p>
    <w:p>
      <w:pPr>
        <w:spacing w:after="200"/>
      </w:pP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4500"/>
      </w:tblGrid>
      <w:tr>
        <w:trPr>
          <w:tblHeader/>
        </w:trPr>
        <w:tc>
          <w:tcPr>
            <w:tcW w:type="dxa" w:w="2200"/>
            <w:shd w:fill="21295C" w:val="clear"/>
            <w:tcMar>
              <w:top w:type="dxa" w:w="100"/>
              <w:left w:type="dxa" w:w="120"/>
              <w:bottom w:type="dxa" w:w="100"/>
              <w:right w:type="dxa" w:w="120"/>
            </w:tcMar>
            <w:vAlign w:val="top"/>
          </w:tcPr>
          <w:p>
            <w:pPr/>
            <w:r>
              <w:rPr>
                <w:rFonts w:ascii="Calibri" w:cs="Calibri" w:eastAsia="Calibri" w:hAnsi="Calibri"/>
                <w:b/>
                <w:bCs/>
                <w:color w:val="FFFFFF"/>
                <w:sz w:val="20"/>
                <w:szCs w:val="20"/>
              </w:rPr>
              <w:t xml:space="preserve">App</w:t>
            </w:r>
          </w:p>
        </w:tc>
        <w:tc>
          <w:tcPr>
            <w:tcW w:type="dxa" w:w="4500"/>
            <w:shd w:fill="21295C" w:val="clear"/>
            <w:tcMar>
              <w:top w:type="dxa" w:w="100"/>
              <w:left w:type="dxa" w:w="120"/>
              <w:bottom w:type="dxa" w:w="100"/>
              <w:right w:type="dxa" w:w="120"/>
            </w:tcMar>
            <w:vAlign w:val="top"/>
          </w:tcPr>
          <w:p>
            <w:pPr/>
            <w:r>
              <w:rPr>
                <w:rFonts w:ascii="Calibri" w:cs="Calibri" w:eastAsia="Calibri" w:hAnsi="Calibri"/>
                <w:b/>
                <w:bCs/>
                <w:color w:val="FFFFFF"/>
                <w:sz w:val="20"/>
                <w:szCs w:val="20"/>
              </w:rPr>
              <w:t xml:space="preserve">On Android</w:t>
            </w:r>
          </w:p>
        </w:tc>
        <w:tc>
          <w:tcPr>
            <w:tcW w:type="dxa" w:w="4500"/>
            <w:shd w:fill="21295C" w:val="clear"/>
            <w:tcMar>
              <w:top w:type="dxa" w:w="100"/>
              <w:left w:type="dxa" w:w="120"/>
              <w:bottom w:type="dxa" w:w="100"/>
              <w:right w:type="dxa" w:w="120"/>
            </w:tcMar>
            <w:vAlign w:val="top"/>
          </w:tcPr>
          <w:p>
            <w:pPr/>
            <w:r>
              <w:rPr>
                <w:rFonts w:ascii="Calibri" w:cs="Calibri" w:eastAsia="Calibri" w:hAnsi="Calibri"/>
                <w:b/>
                <w:bCs/>
                <w:color w:val="FFFFFF"/>
                <w:sz w:val="20"/>
                <w:szCs w:val="20"/>
              </w:rPr>
              <w:t xml:space="preserve">On iOS</w:t>
            </w:r>
          </w:p>
        </w:tc>
      </w:tr>
      <w:tr>
        <w:tc>
          <w:tcPr>
            <w:tcW w:type="dxa" w:w="2200"/>
            <w:tcMar>
              <w:top w:type="dxa" w:w="100"/>
              <w:left w:type="dxa" w:w="120"/>
              <w:bottom w:type="dxa" w:w="100"/>
              <w:right w:type="dxa" w:w="120"/>
            </w:tcMar>
            <w:vAlign w:val="top"/>
          </w:tcPr>
          <w:p>
            <w:pPr/>
            <w:r>
              <w:rPr>
                <w:rFonts w:ascii="Calibri" w:cs="Calibri" w:eastAsia="Calibri" w:hAnsi="Calibri"/>
                <w:b/>
                <w:bCs/>
                <w:color w:val="1A2233"/>
                <w:sz w:val="20"/>
                <w:szCs w:val="20"/>
              </w:rPr>
              <w:t xml:space="preserve">Bank 1 — Verified App Links</w:t>
            </w:r>
          </w:p>
        </w:tc>
        <w:tc>
          <w:tcPr>
            <w:tcW w:type="dxa" w:w="4500"/>
            <w:shd w:fill="E8F5F0" w:val="clear"/>
            <w:tcMar>
              <w:top w:type="dxa" w:w="100"/>
              <w:left w:type="dxa" w:w="120"/>
              <w:bottom w:type="dxa" w:w="100"/>
              <w:right w:type="dxa" w:w="120"/>
            </w:tcMar>
            <w:vAlign w:val="top"/>
          </w:tcPr>
          <w:p>
            <w:pPr/>
            <w:r>
              <w:rPr>
                <w:rFonts w:ascii="Calibri" w:cs="Calibri" w:eastAsia="Calibri" w:hAnsi="Calibri"/>
                <w:color w:val="1A2233"/>
                <w:sz w:val="20"/>
                <w:szCs w:val="20"/>
              </w:rPr>
              <w:t xml:space="preserve">Opens directly, zero prompt — verification confirmed via adb shell pm get-app-links.</w:t>
            </w:r>
          </w:p>
        </w:tc>
        <w:tc>
          <w:tcPr>
            <w:tcW w:type="dxa" w:w="4500"/>
            <w:shd w:fill="FBEAEA" w:val="clear"/>
            <w:tcMar>
              <w:top w:type="dxa" w:w="100"/>
              <w:left w:type="dxa" w:w="120"/>
              <w:bottom w:type="dxa" w:w="100"/>
              <w:right w:type="dxa" w:w="120"/>
            </w:tcMar>
            <w:vAlign w:val="top"/>
          </w:tcPr>
          <w:p>
            <w:pPr/>
            <w:r>
              <w:rPr>
                <w:rFonts w:ascii="Calibri" w:cs="Calibri" w:eastAsia="Calibri" w:hAnsi="Calibri"/>
                <w:color w:val="1A2233"/>
                <w:sz w:val="20"/>
                <w:szCs w:val="20"/>
              </w:rPr>
              <w:t xml:space="preserve">Just a plain webpage. Bank 1 has told iOS nothing about this link at all, so iOS never even thinks to check whether Bank 1 could open it.</w:t>
            </w:r>
          </w:p>
        </w:tc>
      </w:tr>
      <w:tr>
        <w:tc>
          <w:tcPr>
            <w:tcW w:type="dxa" w:w="2200"/>
            <w:shd w:fill="F5F8FA" w:val="clear"/>
            <w:tcMar>
              <w:top w:type="dxa" w:w="100"/>
              <w:left w:type="dxa" w:w="120"/>
              <w:bottom w:type="dxa" w:w="100"/>
              <w:right w:type="dxa" w:w="120"/>
            </w:tcMar>
            <w:vAlign w:val="top"/>
          </w:tcPr>
          <w:p>
            <w:pPr/>
            <w:r>
              <w:rPr>
                <w:rFonts w:ascii="Calibri" w:cs="Calibri" w:eastAsia="Calibri" w:hAnsi="Calibri"/>
                <w:b/>
                <w:bCs/>
                <w:color w:val="1A2233"/>
                <w:sz w:val="20"/>
                <w:szCs w:val="20"/>
              </w:rPr>
              <w:t xml:space="preserve">Bank 2 — Verified Universal Links</w:t>
            </w:r>
          </w:p>
        </w:tc>
        <w:tc>
          <w:tcPr>
            <w:tcW w:type="dxa" w:w="4500"/>
            <w:shd w:fill="FBEAEA" w:val="clear"/>
            <w:tcMar>
              <w:top w:type="dxa" w:w="100"/>
              <w:left w:type="dxa" w:w="120"/>
              <w:bottom w:type="dxa" w:w="100"/>
              <w:right w:type="dxa" w:w="120"/>
            </w:tcMar>
            <w:vAlign w:val="top"/>
          </w:tcPr>
          <w:p>
            <w:pPr/>
            <w:r>
              <w:rPr>
                <w:rFonts w:ascii="Calibri" w:cs="Calibri" w:eastAsia="Calibri" w:hAnsi="Calibri"/>
                <w:color w:val="1A2233"/>
                <w:sz w:val="20"/>
                <w:szCs w:val="20"/>
              </w:rPr>
              <w:t xml:space="preserve">Just opens Chrome. Bank 2 has told Android nothing about this link at all, so Android never even thinks to check whether Bank 2 could open it.</w:t>
            </w:r>
          </w:p>
        </w:tc>
        <w:tc>
          <w:tcPr>
            <w:tcW w:type="dxa" w:w="4500"/>
            <w:shd w:fill="FBF3E8" w:val="clear"/>
            <w:tcMar>
              <w:top w:type="dxa" w:w="100"/>
              <w:left w:type="dxa" w:w="120"/>
              <w:bottom w:type="dxa" w:w="100"/>
              <w:right w:type="dxa" w:w="120"/>
            </w:tcMar>
            <w:vAlign w:val="top"/>
          </w:tcPr>
          <w:p>
            <w:pPr/>
            <w:r>
              <w:rPr>
                <w:rFonts w:ascii="Calibri" w:cs="Calibri" w:eastAsia="Calibri" w:hAnsi="Calibri"/>
                <w:color w:val="1A2233"/>
                <w:sz w:val="20"/>
                <w:szCs w:val="20"/>
              </w:rPr>
              <w:t xml:space="preserve">Reaches Safari with a manual “Open” banner rather than a silent handoff — the free-account ceiling documented earlier in this Part.</w:t>
            </w:r>
          </w:p>
        </w:tc>
      </w:tr>
      <w:tr>
        <w:tc>
          <w:tcPr>
            <w:tcW w:type="dxa" w:w="2200"/>
            <w:tcMar>
              <w:top w:type="dxa" w:w="100"/>
              <w:left w:type="dxa" w:w="120"/>
              <w:bottom w:type="dxa" w:w="100"/>
              <w:right w:type="dxa" w:w="120"/>
            </w:tcMar>
            <w:vAlign w:val="top"/>
          </w:tcPr>
          <w:p>
            <w:pPr/>
            <w:r>
              <w:rPr>
                <w:rFonts w:ascii="Calibri" w:cs="Calibri" w:eastAsia="Calibri" w:hAnsi="Calibri"/>
                <w:b/>
                <w:bCs/>
                <w:color w:val="1A2233"/>
                <w:sz w:val="20"/>
                <w:szCs w:val="20"/>
              </w:rPr>
              <w:t xml:space="preserve">Bank 3 — Smart App Banner</w:t>
            </w:r>
          </w:p>
        </w:tc>
        <w:tc>
          <w:tcPr>
            <w:tcW w:type="dxa" w:w="4500"/>
            <w:shd w:fill="FBEAEA" w:val="clear"/>
            <w:tcMar>
              <w:top w:type="dxa" w:w="100"/>
              <w:left w:type="dxa" w:w="120"/>
              <w:bottom w:type="dxa" w:w="100"/>
              <w:right w:type="dxa" w:w="120"/>
            </w:tcMar>
            <w:vAlign w:val="top"/>
          </w:tcPr>
          <w:p>
            <w:pPr/>
            <w:r>
              <w:rPr>
                <w:rFonts w:ascii="Calibri" w:cs="Calibri" w:eastAsia="Calibri" w:hAnsi="Calibri"/>
                <w:color w:val="1A2233"/>
                <w:sz w:val="20"/>
                <w:szCs w:val="20"/>
              </w:rPr>
              <w:t xml:space="preserve">Just opens Chrome. Bank 3 has told Android nothing about this link at all, so Android never even thinks to check whether Bank 3 could open it.</w:t>
            </w:r>
          </w:p>
        </w:tc>
        <w:tc>
          <w:tcPr>
            <w:tcW w:type="dxa" w:w="4500"/>
            <w:shd w:fill="FBF3E8" w:val="clear"/>
            <w:tcMar>
              <w:top w:type="dxa" w:w="100"/>
              <w:left w:type="dxa" w:w="120"/>
              <w:bottom w:type="dxa" w:w="100"/>
              <w:right w:type="dxa" w:w="120"/>
            </w:tcMar>
            <w:vAlign w:val="top"/>
          </w:tcPr>
          <w:p>
            <w:pPr/>
            <w:r>
              <w:rPr>
                <w:rFonts w:ascii="Calibri" w:cs="Calibri" w:eastAsia="Calibri" w:hAnsi="Calibri"/>
                <w:color w:val="1A2233"/>
                <w:sz w:val="20"/>
                <w:szCs w:val="20"/>
              </w:rPr>
              <w:t xml:space="preserve">Banner cannot render without a real App Store listing, as documented earlier in this Part.</w:t>
            </w:r>
          </w:p>
        </w:tc>
      </w:tr>
      <w:tr>
        <w:tc>
          <w:tcPr>
            <w:tcW w:type="dxa" w:w="2200"/>
            <w:shd w:fill="F5F8FA" w:val="clear"/>
            <w:tcMar>
              <w:top w:type="dxa" w:w="100"/>
              <w:left w:type="dxa" w:w="120"/>
              <w:bottom w:type="dxa" w:w="100"/>
              <w:right w:type="dxa" w:w="120"/>
            </w:tcMar>
            <w:vAlign w:val="top"/>
          </w:tcPr>
          <w:p>
            <w:pPr/>
            <w:r>
              <w:rPr>
                <w:rFonts w:ascii="Calibri" w:cs="Calibri" w:eastAsia="Calibri" w:hAnsi="Calibri"/>
                <w:b/>
                <w:bCs/>
                <w:color w:val="1A2233"/>
                <w:sz w:val="20"/>
                <w:szCs w:val="20"/>
              </w:rPr>
              <w:t xml:space="preserve">Bank 4 — Explicit-Package Intent</w:t>
            </w:r>
          </w:p>
        </w:tc>
        <w:tc>
          <w:tcPr>
            <w:tcW w:type="dxa" w:w="4500"/>
            <w:shd w:fill="E8F5F0" w:val="clear"/>
            <w:tcMar>
              <w:top w:type="dxa" w:w="100"/>
              <w:left w:type="dxa" w:w="120"/>
              <w:bottom w:type="dxa" w:w="100"/>
              <w:right w:type="dxa" w:w="120"/>
            </w:tcMar>
            <w:vAlign w:val="top"/>
          </w:tcPr>
          <w:p>
            <w:pPr/>
            <w:r>
              <w:rPr>
                <w:rFonts w:ascii="Calibri" w:cs="Calibri" w:eastAsia="Calibri" w:hAnsi="Calibri"/>
                <w:color w:val="1A2233"/>
                <w:sz w:val="20"/>
                <w:szCs w:val="20"/>
              </w:rPr>
              <w:t xml:space="preserve">Opens directly, zero prompt, confirmed via adb.</w:t>
            </w:r>
          </w:p>
        </w:tc>
        <w:tc>
          <w:tcPr>
            <w:tcW w:type="dxa" w:w="4500"/>
            <w:shd w:fill="FBEAEA" w:val="clear"/>
            <w:tcMar>
              <w:top w:type="dxa" w:w="100"/>
              <w:left w:type="dxa" w:w="120"/>
              <w:bottom w:type="dxa" w:w="100"/>
              <w:right w:type="dxa" w:w="120"/>
            </w:tcMar>
            <w:vAlign w:val="top"/>
          </w:tcPr>
          <w:p>
            <w:pPr/>
            <w:r>
              <w:rPr>
                <w:rFonts w:ascii="Calibri" w:cs="Calibri" w:eastAsia="Calibri" w:hAnsi="Calibri"/>
                <w:color w:val="1A2233"/>
                <w:sz w:val="20"/>
                <w:szCs w:val="20"/>
              </w:rPr>
              <w:t xml:space="preserve">Just a plain webpage. Bank 4 has told iOS nothing about this link at all, so iOS never even thinks to check whether Bank 4 could open it.</w:t>
            </w:r>
          </w:p>
        </w:tc>
      </w:tr>
      <w:tr>
        <w:tc>
          <w:tcPr>
            <w:tcW w:type="dxa" w:w="2200"/>
            <w:tcMar>
              <w:top w:type="dxa" w:w="100"/>
              <w:left w:type="dxa" w:w="120"/>
              <w:bottom w:type="dxa" w:w="100"/>
              <w:right w:type="dxa" w:w="120"/>
            </w:tcMar>
            <w:vAlign w:val="top"/>
          </w:tcPr>
          <w:p>
            <w:pPr/>
            <w:r>
              <w:rPr>
                <w:rFonts w:ascii="Calibri" w:cs="Calibri" w:eastAsia="Calibri" w:hAnsi="Calibri"/>
                <w:b/>
                <w:bCs/>
                <w:color w:val="1A2233"/>
                <w:sz w:val="20"/>
                <w:szCs w:val="20"/>
              </w:rPr>
              <w:t xml:space="preserve">Bank 5 — Deferred Linking</w:t>
            </w:r>
          </w:p>
        </w:tc>
        <w:tc>
          <w:tcPr>
            <w:tcW w:type="dxa" w:w="4500"/>
            <w:shd w:fill="E8F5F0" w:val="clear"/>
            <w:tcMar>
              <w:top w:type="dxa" w:w="100"/>
              <w:left w:type="dxa" w:w="120"/>
              <w:bottom w:type="dxa" w:w="100"/>
              <w:right w:type="dxa" w:w="120"/>
            </w:tcMar>
            <w:vAlign w:val="top"/>
          </w:tcPr>
          <w:p>
            <w:pPr/>
            <w:r>
              <w:rPr>
                <w:rFonts w:ascii="Calibri" w:cs="Calibri" w:eastAsia="Calibri" w:hAnsi="Calibri"/>
                <w:color w:val="1A2233"/>
                <w:sz w:val="20"/>
                <w:szCs w:val="20"/>
              </w:rPr>
              <w:t xml:space="preserve">Correct token recovered from clipboard on first launch.</w:t>
            </w:r>
          </w:p>
        </w:tc>
        <w:tc>
          <w:tcPr>
            <w:tcW w:type="dxa" w:w="4500"/>
            <w:shd w:fill="E8F5F0" w:val="clear"/>
            <w:tcMar>
              <w:top w:type="dxa" w:w="100"/>
              <w:left w:type="dxa" w:w="120"/>
              <w:bottom w:type="dxa" w:w="100"/>
              <w:right w:type="dxa" w:w="120"/>
            </w:tcMar>
            <w:vAlign w:val="top"/>
          </w:tcPr>
          <w:p>
            <w:pPr/>
            <w:r>
              <w:rPr>
                <w:rFonts w:ascii="Calibri" w:cs="Calibri" w:eastAsia="Calibri" w:hAnsi="Calibri"/>
                <w:color w:val="1A2233"/>
                <w:sz w:val="20"/>
                <w:szCs w:val="20"/>
              </w:rPr>
              <w:t xml:space="preserve">Correct token recovered from clipboard on first launch — identical behavior to Android.</w:t>
            </w:r>
          </w:p>
        </w:tc>
      </w:tr>
    </w:tbl>
    <w:p>
      <w:pPr>
        <w:spacing w:after="200"/>
      </w:pPr>
    </w:p>
    <w:tbl>
      <w:tblPr>
        <w:tblW w:type="dxa" w:w="9400"/>
      </w:tblPr>
      <w:tblGrid>
        <w:gridCol w:w="9400"/>
      </w:tblGrid>
      <w:tr>
        <w:tc>
          <w:tcPr>
            <w:tcW w:type="dxa" w:w="9400"/>
            <w:shd w:fill="E8F5F0" w:val="clear"/>
            <w:tcMar>
              <w:top w:type="dxa" w:w="160"/>
              <w:left w:type="dxa" w:w="200"/>
              <w:bottom w:type="dxa" w:w="160"/>
              <w:right w:type="dxa" w:w="200"/>
            </w:tcMar>
          </w:tcPr>
          <w:p>
            <w:pPr>
              <w:spacing w:after="80"/>
            </w:pPr>
            <w:r>
              <w:rPr>
                <w:rFonts w:ascii="Calibri" w:cs="Calibri" w:eastAsia="Calibri" w:hAnsi="Calibri"/>
                <w:b/>
                <w:bCs/>
                <w:color w:val="0B3B44"/>
                <w:sz w:val="22"/>
                <w:szCs w:val="22"/>
              </w:rPr>
              <w:t xml:space="preserve">What this confirms</w:t>
            </w:r>
          </w:p>
          <w:p>
            <w:r>
              <w:rPr>
                <w:rFonts w:ascii="Calibri" w:cs="Calibri" w:eastAsia="Calibri" w:hAnsi="Calibri"/>
                <w:color w:val="1A2233"/>
                <w:sz w:val="21"/>
                <w:szCs w:val="21"/>
              </w:rPr>
              <w:t xml:space="preserve">Bank 1 and Bank 4 (Android-only) are completely invisible to iOS — not degraded, not partially working, simply never considered. Bank 2 and Bank 3 (iOS-only) are equally invisible to Android. Only Bank 5's clipboard-based deferred linking genuinely works identically on both platforms, which is exactly what its “Android + iOS” badge claims. Every badge in this project is now backed by a live device test in both directions, not just a description of intended behavior.</w:t>
            </w:r>
          </w:p>
        </w:tc>
      </w:tr>
    </w:tbl>
    <w:p>
      <w:r>
        <w:br w:type="page"/>
      </w:r>
    </w:p>
    <w:p>
      <w:pPr>
        <w:pStyle w:val="Heading1"/>
        <w:spacing w:after="200" w:before="400"/>
      </w:pPr>
      <w:r>
        <w:t xml:space="preserve">Part 10 — Summary</w:t>
      </w:r>
    </w:p>
    <w:p>
      <w:pPr>
        <w:spacing w:after="160"/>
      </w:pPr>
      <w:r>
        <w:rPr>
          <w:rFonts w:ascii="Calibri" w:cs="Calibri" w:eastAsia="Calibri" w:hAnsi="Calibri"/>
          <w:sz w:val="22"/>
          <w:szCs w:val="22"/>
        </w:rPr>
        <w:t xml:space="preserve">This project demonstrates a working simulation of universal QR payment routing across Android and iOS, using one QR code, no verified domain ownership on either platform, and three independent bank apps. Every mechanism described here — the Android chooser, the iOS picker page, the single-use payment guarantee, the clickjacking protection, and the auto-updating webpage — has been directly tested on real devices, not just designed on paper.</w:t>
      </w:r>
    </w:p>
    <w:p>
      <w:pPr>
        <w:spacing w:after="160"/>
      </w:pPr>
      <w:r>
        <w:rPr>
          <w:rFonts w:ascii="Calibri" w:cs="Calibri" w:eastAsia="Calibri" w:hAnsi="Calibri"/>
          <w:sz w:val="22"/>
          <w:szCs w:val="22"/>
        </w:rPr>
        <w:t xml:space="preserve">The design is deliberately constrained: verifying either platform's link-ownership system was tested and confirmed to remove the very behavior this project sets out to demonstrate. That trade-off, along with every other known limitation, is documented in Part 8 so that future work on this project starts from an accurate understanding of what's been tried and why.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21295C"/>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065A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5eeefdb12ce60912a2a285f7b7b49bfc78cf38.png"/><Relationship Id="rId8" Type="http://schemas.openxmlformats.org/officeDocument/2006/relationships/image" Target="media/0e4d137ac84b9f3b5615ecb23e7c7e4ceff158a7.png"/><Relationship Id="rId9" Type="http://schemas.openxmlformats.org/officeDocument/2006/relationships/image" Target="media/8cb0b0503e63de4740670d26b0f9ace404b87ad1.png"/><Relationship Id="rId10" Type="http://schemas.openxmlformats.org/officeDocument/2006/relationships/image" Target="media/9aaf1632872d590452b50e721096430ec7f61d8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SGQR Deep Linking Simulation — Complete Project Documentation</dc:title>
  <dc:creator>SGQR Deep Link Demo</dc:creator>
  <cp:lastModifiedBy>Un-named</cp:lastModifiedBy>
  <cp:revision>1</cp:revision>
  <dcterms:created xsi:type="dcterms:W3CDTF">2026-07-16T02:05:54.186Z</dcterms:created>
  <dcterms:modified xsi:type="dcterms:W3CDTF">2026-07-16T02:05:54.187Z</dcterms:modified>
</cp:coreProperties>
</file>

<file path=docProps/custom.xml><?xml version="1.0" encoding="utf-8"?>
<Properties xmlns="http://schemas.openxmlformats.org/officeDocument/2006/custom-properties" xmlns:vt="http://schemas.openxmlformats.org/officeDocument/2006/docPropsVTypes"/>
</file>