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rFonts w:ascii="Calibri" w:cs="Calibri" w:eastAsia="Calibri" w:hAnsi="Calibri"/>
          <w:b/>
          <w:bCs/>
          <w:color w:val="21295C"/>
          <w:sz w:val="44"/>
          <w:szCs w:val="44"/>
        </w:rPr>
        <w:t xml:space="preserve">SGQR-Style Deep Linking Simulation</w:t>
      </w:r>
    </w:p>
    <w:p>
      <w:pPr>
        <w:spacing w:after="800"/>
        <w:jc w:val="center"/>
      </w:pPr>
      <w:r>
        <w:rPr>
          <w:rFonts w:ascii="Calibri" w:cs="Calibri" w:eastAsia="Calibri" w:hAnsi="Calibri"/>
          <w:color w:val="065A82"/>
          <w:sz w:val="30"/>
          <w:szCs w:val="30"/>
        </w:rPr>
        <w:t xml:space="preserve">Technical Glossary &amp; Risk Assessment</w:t>
      </w:r>
    </w:p>
    <w:p>
      <w:pPr>
        <w:jc w:val="center"/>
      </w:pPr>
      <w:r>
        <w:rPr>
          <w:rFonts w:ascii="Calibri" w:cs="Calibri" w:eastAsia="Calibri" w:hAnsi="Calibri"/>
          <w:i/>
          <w:iCs/>
          <w:color w:val="5B6B79"/>
          <w:sz w:val="22"/>
          <w:szCs w:val="22"/>
        </w:rPr>
        <w:t xml:space="preserve">Covers every Android/iOS deep-linking mechanism used in the project — what each term means, where it lives in the codebase, and the risks inherent to this approach.</w:t>
      </w:r>
    </w:p>
    <w:p>
      <w:r>
        <w:br w:type="page"/>
      </w:r>
    </w:p>
    <w:p>
      <w:pPr>
        <w:pStyle w:val="Heading1"/>
        <w:spacing w:after="200" w:before="4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Part 1 — Technical Glossary</w:t>
      </w:r>
    </w:p>
    <w:p>
      <w:pPr>
        <w:spacing w:after="160"/>
      </w:pPr>
      <w:r>
        <w:rPr>
          <w:rFonts w:ascii="Calibri" w:cs="Calibri" w:eastAsia="Calibri" w:hAnsi="Calibri"/>
          <w:sz w:val="22"/>
          <w:szCs w:val="22"/>
        </w:rPr>
        <w:t xml:space="preserve">Every term below appears somewhere in this project’s codebase, manifests, or configuration. Grouped by where it lives.</w:t>
      </w:r>
    </w:p>
    <w:p>
      <w:pPr>
        <w:pStyle w:val="Heading2"/>
        <w:spacing w:after="150" w:before="300"/>
      </w:pPr>
      <w:r>
        <w:t xml:space="preserve">Android — Manifest &amp; OS-Level Link Resolution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900"/>
      </w:tblGrid>
      <w:tr>
        <w:trPr>
          <w:tblHeader/>
        </w:trPr>
        <w:tc>
          <w:tcPr>
            <w:tcW w:type="dxa" w:w="22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Term</w:t>
            </w:r>
          </w:p>
        </w:tc>
        <w:tc>
          <w:tcPr>
            <w:tcW w:type="dxa" w:w="33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Where it lives</w:t>
            </w:r>
          </w:p>
        </w:tc>
        <w:tc>
          <w:tcPr>
            <w:tcW w:type="dxa" w:w="39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What it does</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AndroidManifest.xml</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bank_app_a/b/c/android/app/src/main/AndroidManifest.xml</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XML file every Android app ships declaring its components, permissions, and which links/schemes it responds to.</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Intent</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Android OS concept</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core “request” object Android uses for actions like “view this URL.” Tapping a link wraps it in a VIEW Intent and asks which installed app(s) can handle it.</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Intent-filter</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AndroidManifest.xml, inside &lt;activity&gt;</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 declaration of “this app can handle intents matching this pattern.” Each bank app has three: its own custom scheme, the shared https host, and the shared sgqrpay scheme.</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&lt;data&gt; attributes (scheme / host / pathPrefix)</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Inside each &lt;intent-filter&gt;</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actual match pattern, e.g. scheme="https" host="sgqr-deep-link-demo.onrender.com" pathPrefix="/pay".</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android.intent.category.BROWSABLE</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Inside each &lt;intent-filter&gt;</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Required category meaning “can be triggered by tapping a link,” not just launched from the home screen.</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android:autoVerify="true"</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Tested in AndroidManifest.xml, later removed</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Upgrades an intent-filter to request cryptographic verification of sole domain ownership. Removed because it silently defeats the chooser (see Risks).</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Disambiguation dialog / chooser</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Android OS behavior</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native “Open with…” popup shown when multiple apps could handle an Intent and none has exclusive verified ownership — this is the “app drawer” behavior.</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ResolverActivity</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Android OS internal component</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system component that is the chooser dialog. Confirmed directly via adb shell dumpsys package resolve-activity.</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ACTION_VIEW</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Android OS concept</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specific Intent action meaning “display/open this,” used for opening links.</w:t>
            </w:r>
          </w:p>
        </w:tc>
      </w:tr>
    </w:tbl>
    <w:p>
      <w:pPr>
        <w:spacing w:after="300"/>
      </w:pPr>
    </w:p>
    <w:p>
      <w:pPr>
        <w:pStyle w:val="Heading2"/>
        <w:spacing w:after="150" w:before="300"/>
      </w:pPr>
      <w:r>
        <w:t xml:space="preserve">Android — App Links Verification (tested, then reverted)</w:t>
      </w:r>
    </w:p>
    <w:p>
      <w:pPr>
        <w:spacing w:after="160"/>
      </w:pPr>
      <w:r>
        <w:rPr>
          <w:rFonts w:ascii="Calibri" w:cs="Calibri" w:eastAsia="Calibri" w:hAnsi="Calibri"/>
          <w:i/>
          <w:iCs/>
          <w:color w:val="5B6B79"/>
          <w:sz w:val="20"/>
          <w:szCs w:val="20"/>
        </w:rPr>
        <w:t xml:space="preserve">This mechanism was implemented, tested directly on-device, and then deliberately removed — see Part 2 for why.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900"/>
      </w:tblGrid>
      <w:tr>
        <w:trPr>
          <w:tblHeader/>
        </w:trPr>
        <w:tc>
          <w:tcPr>
            <w:tcW w:type="dxa" w:w="22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Term</w:t>
            </w:r>
          </w:p>
        </w:tc>
        <w:tc>
          <w:tcPr>
            <w:tcW w:type="dxa" w:w="33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Where it lives</w:t>
            </w:r>
          </w:p>
        </w:tc>
        <w:tc>
          <w:tcPr>
            <w:tcW w:type="dxa" w:w="39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What it does</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Android App Links</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Concept; tested then reverted</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Android’s verified deep-linking system — lets an app claim exclusive, cryptographically-proven ownership of a domain, skipping the browser and any dialog.</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Digital Asset Links / assetlinks.json</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Would be hosted at backend /.well-known/assetlinks.json</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JSON file listing which app package names + signing certificates are authorized to own a domain. Android fetches and checks this at install time.</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SHA-256 certificate fingerprint</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Generated via keytool -list -v, confirmed via apksigner verify</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unique hash of the key used to sign the APK — what assetlinks.json lists and what Android compares against the installed app’s real signature.</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Keystore (.jks) / keystore.properties</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sgqr-release-keystore.jks (repo root, gitignored)</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file holding the app’s real signing key, plus the properties file telling Gradle where to find it and its passwords.</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pm get-app-links (adb)</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Diagnostic command used during testing</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Directly queries Android’s verification state per app — confirmed all 3 apps showed “verified” for the domain during the experiment.</w:t>
            </w:r>
          </w:p>
        </w:tc>
      </w:tr>
    </w:tbl>
    <w:p>
      <w:pPr>
        <w:spacing w:after="300"/>
      </w:pPr>
    </w:p>
    <w:p>
      <w:pPr>
        <w:pStyle w:val="Heading2"/>
        <w:spacing w:after="150" w:before="300"/>
      </w:pPr>
      <w:r>
        <w:t xml:space="preserve">The Workaround That Makes Android’s Chooser Appear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900"/>
      </w:tblGrid>
      <w:tr>
        <w:trPr>
          <w:tblHeader/>
        </w:trPr>
        <w:tc>
          <w:tcPr>
            <w:tcW w:type="dxa" w:w="22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Term</w:t>
            </w:r>
          </w:p>
        </w:tc>
        <w:tc>
          <w:tcPr>
            <w:tcW w:type="dxa" w:w="33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Where it lives</w:t>
            </w:r>
          </w:p>
        </w:tc>
        <w:tc>
          <w:tcPr>
            <w:tcW w:type="dxa" w:w="39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What it does</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intent:// URI scheme</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backend/public/pay.html</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 special non-standard URL syntax (intent://host/path#Intent;scheme=...;end) only Chrome/WebView know how to parse into a real Android Intent — lets a webpage force real Intent resolution instead of ordinary navigation.</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S.browser_fallback_url</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Inside the intent:// URI in pay.html</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Parameter telling Chrome “if no app can handle this, navigate here instead” — the graceful fallback back to the picker page.</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Shared custom scheme (sgqrpay://)</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Registered in all 3 apps’ AndroidManifest.xml</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 made-up scheme all 3 bank apps — and no browser — register. Because no browser can claim it, the 3-way ambiguity produces the real chooser.</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“Continue to pay” button</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backend/public/pay.html</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 real &lt;a href="intent://..."&gt; anchor. Must be a genuine user tap — Chrome only honors intent:// navigation from user-activated clicks, not automatic redirects.</w:t>
            </w:r>
          </w:p>
        </w:tc>
      </w:tr>
    </w:tbl>
    <w:p>
      <w:pPr>
        <w:spacing w:after="300"/>
      </w:pPr>
    </w:p>
    <w:p>
      <w:pPr>
        <w:pStyle w:val="Heading2"/>
        <w:spacing w:after="150" w:before="300"/>
      </w:pPr>
      <w:r>
        <w:t xml:space="preserve">iOS — Link Resolution &amp; Schemes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900"/>
      </w:tblGrid>
      <w:tr>
        <w:trPr>
          <w:tblHeader/>
        </w:trPr>
        <w:tc>
          <w:tcPr>
            <w:tcW w:type="dxa" w:w="22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Term</w:t>
            </w:r>
          </w:p>
        </w:tc>
        <w:tc>
          <w:tcPr>
            <w:tcW w:type="dxa" w:w="33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Where it lives</w:t>
            </w:r>
          </w:p>
        </w:tc>
        <w:tc>
          <w:tcPr>
            <w:tcW w:type="dxa" w:w="39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What it does</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Universal Links</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Apple platform concept (not used)</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Apple’s equivalent of Android App Links — lets a real https link open an app directly, if properly registered.</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apple-app-site-association (AASA)</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Would be hosted at /.well-known/apple-app-site-association — deliberately not hosted</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Apple’s equivalent of assetlinks.json — JSON listing which app (Team ID + bundle ID) owns a domain.</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Associated Domains entitlement</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Xcode capability (not added)</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iOS equivalent of autoVerify — an app capability required for an app to claim a domain via AASA.</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Custom URL scheme (bankademo:// etc.)</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ios/Runner/Info.plist (CFBundleURLTypes), driven by BANK_URL_SCHEME in Debug/Release.xcconfig</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Each bank app’s own individual scheme. This is what the picker page’s bank buttons navigate to.</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“Open in ‘Bank X’?” system prompt</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iOS OS behavior</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iOS’s confirmation dialog before handing off from Safari to an app via custom scheme — confirms a choice already made on the web page.</w:t>
            </w:r>
          </w:p>
        </w:tc>
      </w:tr>
    </w:tbl>
    <w:p>
      <w:pPr>
        <w:spacing w:after="300"/>
      </w:pPr>
    </w:p>
    <w:p>
      <w:pPr>
        <w:pStyle w:val="Heading2"/>
        <w:spacing w:after="150" w:before="300"/>
      </w:pPr>
      <w:r>
        <w:t xml:space="preserve">Backend / Web</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900"/>
      </w:tblGrid>
      <w:tr>
        <w:trPr>
          <w:tblHeader/>
        </w:trPr>
        <w:tc>
          <w:tcPr>
            <w:tcW w:type="dxa" w:w="22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Term</w:t>
            </w:r>
          </w:p>
        </w:tc>
        <w:tc>
          <w:tcPr>
            <w:tcW w:type="dxa" w:w="33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Where it lives</w:t>
            </w:r>
          </w:p>
        </w:tc>
        <w:tc>
          <w:tcPr>
            <w:tcW w:type="dxa" w:w="39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What it does</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Token</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backend/store.js, generated via nanoid</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Opaque random ID identifying one payment record — the only thing ever embedded in any link. Merchant/amount are always fetched fresh from the server.</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X-Frame-Options / Content-Security-Policy (frame-ancestors)</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backend/server.js response headers</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HTTP headers preventing the picker page from being embedded in a hidden iframe on another site — clickjacking protection.</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Atomic check-then-flip</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backend/server.js, POST /api/payload/:token/pay</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single-use payment guarantee: checks paid === false and sets it to true in one uninterruptible step, so two banks racing to approve can’t both succeed.</w:t>
            </w:r>
          </w:p>
        </w:tc>
      </w:tr>
    </w:tbl>
    <w:p>
      <w:pPr>
        <w:spacing w:after="300"/>
      </w:pPr>
    </w:p>
    <w:p>
      <w:pPr>
        <w:pStyle w:val="Heading2"/>
        <w:spacing w:after="150" w:before="300"/>
      </w:pPr>
      <w:r>
        <w:t xml:space="preserve">Flutter App Internals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900"/>
      </w:tblGrid>
      <w:tr>
        <w:trPr>
          <w:tblHeader/>
        </w:trPr>
        <w:tc>
          <w:tcPr>
            <w:tcW w:type="dxa" w:w="22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Term</w:t>
            </w:r>
          </w:p>
        </w:tc>
        <w:tc>
          <w:tcPr>
            <w:tcW w:type="dxa" w:w="33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Where it lives</w:t>
            </w:r>
          </w:p>
        </w:tc>
        <w:tc>
          <w:tcPr>
            <w:tcW w:type="dxa" w:w="39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What it does</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app_links package</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lib/main.dart, pubspec.yaml</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Flutter library used to receive incoming deep links into the app.</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getInitialLink()</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lib/main.dart</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Checked once at startup — covers “cold start,” where the link itself launched the app.</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uriLinkStream</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lib/main.dart</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 live subscription firing while the app is already running (warm start / foregrounded).</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Dedupe guard (_lastHandledUri)</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lib/main.dart</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Fix for a real bug where both link-detection paths fire for the same cold-start link — compares against the last-handled URI before acting, to avoid double navigation.</w:t>
            </w:r>
          </w:p>
        </w:tc>
      </w:tr>
    </w:tbl>
    <w:p>
      <w:r>
        <w:br w:type="page"/>
      </w:r>
    </w:p>
    <w:p>
      <w:pPr>
        <w:pStyle w:val="Heading1"/>
        <w:spacing w:after="200" w:before="400"/>
      </w:pPr>
      <w:r>
        <w:t xml:space="preserve">Part 2 — Risk Assessment</w:t>
      </w:r>
    </w:p>
    <w:p>
      <w:pPr>
        <w:spacing w:after="160"/>
      </w:pPr>
      <w:r>
        <w:rPr>
          <w:rFonts w:ascii="Calibri" w:cs="Calibri" w:eastAsia="Calibri" w:hAnsi="Calibri"/>
          <w:sz w:val="22"/>
          <w:szCs w:val="22"/>
        </w:rPr>
        <w:t xml:space="preserve">Risks inherent to this Android/iOS deep-linking approach, grouped by category. This reflects risks in the current demo/simulation as built — several are acceptable for a demo but would need addressing before any production use.</w:t>
      </w:r>
    </w:p>
    <w:p>
      <w:pPr>
        <w:spacing w:after="200"/>
      </w:pPr>
      <w:r>
        <w:rPr>
          <w:rFonts w:ascii="Calibri" w:cs="Calibri" w:eastAsia="Calibri" w:hAnsi="Calibri"/>
          <w:b/>
          <w:bCs/>
          <w:sz w:val="20"/>
          <w:szCs w:val="20"/>
        </w:rPr>
        <w:t xml:space="preserve">Severity:  </w:t>
      </w:r>
      <w:r>
        <w:rPr>
          <w:rFonts w:ascii="Calibri" w:cs="Calibri" w:eastAsia="Calibri" w:hAnsi="Calibri"/>
          <w:sz w:val="20"/>
          <w:szCs w:val="20"/>
          <w:shd w:fill="FBEAEA" w:val="clear"/>
        </w:rPr>
        <w:t xml:space="preserve">  High  </w:t>
      </w:r>
      <w:r>
        <w:rPr>
          <w:sz w:val="20"/>
          <w:szCs w:val="20"/>
        </w:rPr>
        <w:t xml:space="preserve">   </w:t>
      </w:r>
      <w:r>
        <w:rPr>
          <w:rFonts w:ascii="Calibri" w:cs="Calibri" w:eastAsia="Calibri" w:hAnsi="Calibri"/>
          <w:sz w:val="20"/>
          <w:szCs w:val="20"/>
          <w:shd w:fill="FBF3E8" w:val="clear"/>
        </w:rPr>
        <w:t xml:space="preserve">  Medium  </w:t>
      </w:r>
      <w:r>
        <w:rPr>
          <w:sz w:val="20"/>
          <w:szCs w:val="20"/>
        </w:rPr>
        <w:t xml:space="preserve">   </w:t>
      </w:r>
      <w:r>
        <w:rPr>
          <w:rFonts w:ascii="Calibri" w:cs="Calibri" w:eastAsia="Calibri" w:hAnsi="Calibri"/>
          <w:sz w:val="20"/>
          <w:szCs w:val="20"/>
          <w:shd w:fill="F5F8FA" w:val="clear"/>
        </w:rPr>
        <w:t xml:space="preserve">  Low  </w:t>
      </w:r>
    </w:p>
    <w:p>
      <w:pPr>
        <w:pStyle w:val="Heading2"/>
        <w:spacing w:after="150" w:before="300"/>
      </w:pPr>
      <w:r>
        <w:t xml:space="preserve">Platform Behavior Risks</w:t>
      </w:r>
    </w:p>
    <w:p>
      <w:pPr>
        <w:spacing w:after="160"/>
      </w:pPr>
      <w:r>
        <w:rPr>
          <w:rFonts w:ascii="Calibri" w:cs="Calibri" w:eastAsia="Calibri" w:hAnsi="Calibri"/>
          <w:sz w:val="22"/>
          <w:szCs w:val="22"/>
        </w:rPr>
        <w:t xml:space="preserve">Risks arising from relying on OS-level link-resolution behavior that is not a stable, documented contract.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500"/>
      </w:tblGrid>
      <w:tr>
        <w:trPr>
          <w:tblHeader/>
        </w:trPr>
        <w:tc>
          <w:tcPr>
            <w:tcW w:type="dxa" w:w="25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Risk</w:t>
            </w:r>
          </w:p>
        </w:tc>
        <w:tc>
          <w:tcPr>
            <w:tcW w:type="dxa" w:w="34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Why it matters / failure scenario</w:t>
            </w:r>
          </w:p>
        </w:tc>
        <w:tc>
          <w:tcPr>
            <w:tcW w:type="dxa" w:w="35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Mitigation / current status</w:t>
            </w:r>
          </w:p>
        </w:tc>
      </w:tr>
      <w:tr>
        <w:tc>
          <w:tcPr>
            <w:tcW w:type="dxa" w:w="2500"/>
            <w:shd w:fill="FBF3E8"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Relies on undocumented Android OS policy</w:t>
            </w:r>
          </w:p>
        </w:tc>
        <w:tc>
          <w:tcPr>
            <w:tcW w:type="dxa" w:w="34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“defer unverified https links to the default browser” behavior is an internal Android policy, not a documented contract. Google could change it in a future Android version, silently breaking the chooser flow.</w:t>
            </w:r>
          </w:p>
        </w:tc>
        <w:tc>
          <w:tcPr>
            <w:tcW w:type="dxa" w:w="35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 mitigation possible beyond re-testing on each new Android release. This is an inherent fragility of relying on unverified-link fallback behavior rather than an official API.</w:t>
            </w:r>
          </w:p>
        </w:tc>
      </w:tr>
      <w:tr>
        <w:tc>
          <w:tcPr>
            <w:tcW w:type="dxa" w:w="2500"/>
            <w:shd w:fill="FBEAE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intent:// is a Chrome/WebView-specific convention</w:t>
            </w:r>
          </w:p>
        </w:tc>
        <w:tc>
          <w:tcPr>
            <w:tcW w:type="dxa" w:w="3400"/>
            <w:shd w:fill="FBEAE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Users with a different default browser (Firefox, Samsung Internet, Edge, Brave, etc.) may see the intent:// link fail silently, behave differently, or not trigger the chooser at all — this convention is not part of the Android platform, only Chromium-based browsers.</w:t>
            </w:r>
          </w:p>
        </w:tc>
        <w:tc>
          <w:tcPr>
            <w:tcW w:type="dxa" w:w="3500"/>
            <w:shd w:fill="FBEAE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Not currently tested against non-Chrome browsers. Would need explicit QA across the top Android default browsers before production use.</w:t>
            </w:r>
          </w:p>
        </w:tc>
      </w:tr>
      <w:tr>
        <w:tc>
          <w:tcPr>
            <w:tcW w:type="dxa" w:w="2500"/>
            <w:shd w:fill="FBF3E8"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Persistent “Always” selection silently skips the chooser</w:t>
            </w:r>
          </w:p>
        </w:tc>
        <w:tc>
          <w:tcPr>
            <w:tcW w:type="dxa" w:w="34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If a user taps “Always” for one bank in the chooser dialog, Android remembers that choice indefinitely. Future scans of the same or different payment QR codes will silently open that bank with no prompt, until manually cleared in Settings → Apps → Default apps.</w:t>
            </w:r>
          </w:p>
        </w:tc>
        <w:tc>
          <w:tcPr>
            <w:tcW w:type="dxa" w:w="35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None built in. A production version might need in-app guidance directing users to clear defaults, or accept this as expected one-time-choice behavior.</w:t>
            </w:r>
          </w:p>
        </w:tc>
      </w:tr>
      <w:tr>
        <w:tc>
          <w:tcPr>
            <w:tcW w:type="dxa" w:w="2500"/>
            <w:shd w:fill="FBF3E8"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OEM Android skins may behave differently</w:t>
            </w:r>
          </w:p>
        </w:tc>
        <w:tc>
          <w:tcPr>
            <w:tcW w:type="dxa" w:w="34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Samsung (One UI), Xiaomi (MIUI), Oppo/OnePlus (ColorOS/OxygenOS) and others are known to customize link-handling and default-app behavior beyond stock Android (AOSP). This project was tested on stock/near-stock Android; OEM-skinned devices are unverified.</w:t>
            </w:r>
          </w:p>
        </w:tc>
        <w:tc>
          <w:tcPr>
            <w:tcW w:type="dxa" w:w="35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 mitigation implemented. Would require a device lab or beta test across major OEM skins.</w:t>
            </w:r>
          </w:p>
        </w:tc>
      </w:tr>
      <w:tr>
        <w:tc>
          <w:tcPr>
            <w:tcW w:type="dxa" w:w="2500"/>
            <w:shd w:fill="FBEAE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iOS custom scheme has no uniqueness guarantee</w:t>
            </w:r>
          </w:p>
        </w:tc>
        <w:tc>
          <w:tcPr>
            <w:tcW w:type="dxa" w:w="3400"/>
            <w:shd w:fill="FBEAE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Unlike a verified Universal Link, nothing stops a second, unrelated app from registering the exact same custom scheme (e.g. bankademo://). Whichever app registered it wins in an OS-defined but not user-visible way — a real app could theoretically intercept another’s scheme.</w:t>
            </w:r>
          </w:p>
        </w:tc>
        <w:tc>
          <w:tcPr>
            <w:tcW w:type="dxa" w:w="3500"/>
            <w:shd w:fill="FBEAE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Not mitigated — inherent to using custom schemes instead of Universal Links. Apple explicitly recommends Universal Links over custom schemes for production apps for this reason.</w:t>
            </w:r>
          </w:p>
        </w:tc>
      </w:tr>
    </w:tbl>
    <w:p>
      <w:pPr>
        <w:spacing w:after="300"/>
      </w:pPr>
    </w:p>
    <w:p>
      <w:pPr>
        <w:pStyle w:val="Heading2"/>
        <w:spacing w:after="150" w:before="300"/>
      </w:pPr>
      <w:r>
        <w:t xml:space="preserve">Security Risks</w:t>
      </w:r>
    </w:p>
    <w:p>
      <w:pPr>
        <w:spacing w:after="160"/>
      </w:pPr>
      <w:r>
        <w:rPr>
          <w:rFonts w:ascii="Calibri" w:cs="Calibri" w:eastAsia="Calibri" w:hAnsi="Calibri"/>
          <w:sz w:val="22"/>
          <w:szCs w:val="22"/>
        </w:rPr>
        <w:t xml:space="preserve">Risks in the backend and payment-confirmation flow, mostly acceptable for a demo but real gaps for production.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500"/>
      </w:tblGrid>
      <w:tr>
        <w:trPr>
          <w:tblHeader/>
        </w:trPr>
        <w:tc>
          <w:tcPr>
            <w:tcW w:type="dxa" w:w="25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Risk</w:t>
            </w:r>
          </w:p>
        </w:tc>
        <w:tc>
          <w:tcPr>
            <w:tcW w:type="dxa" w:w="34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Why it matters / failure scenario</w:t>
            </w:r>
          </w:p>
        </w:tc>
        <w:tc>
          <w:tcPr>
            <w:tcW w:type="dxa" w:w="35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Mitigation / current status</w:t>
            </w:r>
          </w:p>
        </w:tc>
      </w:tr>
      <w:tr>
        <w:tc>
          <w:tcPr>
            <w:tcW w:type="dxa" w:w="2500"/>
            <w:shd w:fill="FBEAE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No proof-of-origin on the payment confirmation endpoint</w:t>
            </w:r>
          </w:p>
        </w:tc>
        <w:tc>
          <w:tcPr>
            <w:tcW w:type="dxa" w:w="3400"/>
            <w:shd w:fill="FBEAE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POST /api/payload/:token/pay accepts any request with a valid token and a bank name string — there is no signature, API key, or app attestation proving the request genuinely came from a legitimate signed bank app rather than a scripted HTTP client.</w:t>
            </w:r>
          </w:p>
        </w:tc>
        <w:tc>
          <w:tcPr>
            <w:tcW w:type="dxa" w:w="3500"/>
            <w:shd w:fill="FBEAE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Not implemented. A production system would need mutual TLS, signed app attestation (Play Integrity API / DeviceCheck), or a backend-issued session token per app install.</w:t>
            </w:r>
          </w:p>
        </w:tc>
      </w:tr>
      <w:tr>
        <w:tc>
          <w:tcPr>
            <w:tcW w:type="dxa" w:w="2500"/>
            <w:shd w:fill="FBF3E8"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Tokens travel in plaintext, unencrypted URLs</w:t>
            </w:r>
          </w:p>
        </w:tc>
        <w:tc>
          <w:tcPr>
            <w:tcW w:type="dxa" w:w="34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token is visible in browser history, clipboard managers, screenshots, and shared links. Anyone who obtains a live (unpaid) token before the legitimate user completes payment could attempt to interact with it.</w:t>
            </w:r>
          </w:p>
        </w:tc>
        <w:tc>
          <w:tcPr>
            <w:tcW w:type="dxa" w:w="35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Partially mitigated by single-use invalidation (see below) and the token being fetched-detail-only, not itself a bearer of money. No token expiry is currently implemented.</w:t>
            </w:r>
          </w:p>
        </w:tc>
      </w:tr>
      <w:tr>
        <w:tc>
          <w:tcPr>
            <w:tcW w:type="dxa" w:w="2500"/>
            <w:shd w:fill="FBF3E8"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No token expiry</w:t>
            </w:r>
          </w:p>
        </w:tc>
        <w:tc>
          <w:tcPr>
            <w:tcW w:type="dxa" w:w="34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 created payment token remains valid indefinitely until paid. A long-lived leaked token could still be acted upon long after the original QR was generated.</w:t>
            </w:r>
          </w:p>
        </w:tc>
        <w:tc>
          <w:tcPr>
            <w:tcW w:type="dxa" w:w="35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Not implemented. Should add a short TTL (e.g. 5–15 minutes) and reject /pay requests on expired tokens.</w:t>
            </w:r>
          </w:p>
        </w:tc>
      </w:tr>
      <w:tr>
        <w:tc>
          <w:tcPr>
            <w:tcW w:type="dxa" w:w="2500"/>
            <w:shd w:fill="FBF3E8"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No rate limiting on payment creation or confirmation endpoints</w:t>
            </w:r>
          </w:p>
        </w:tc>
        <w:tc>
          <w:tcPr>
            <w:tcW w:type="dxa" w:w="34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Both POST /api/payments and POST /api/payload/:token/pay can be called an unlimited number of times per second from any client, enabling token enumeration attempts or basic denial-of-service.</w:t>
            </w:r>
          </w:p>
        </w:tc>
        <w:tc>
          <w:tcPr>
            <w:tcW w:type="dxa" w:w="35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Not implemented. Would need per-IP/per-key rate limiting in production.</w:t>
            </w:r>
          </w:p>
        </w:tc>
      </w:tr>
      <w:tr>
        <w:tc>
          <w:tcPr>
            <w:tcW w:type="dxa" w:w="2500"/>
            <w:tcMar>
              <w:top w:type="dxa" w:w="100"/>
              <w:left w:type="dxa" w:w="120"/>
              <w:bottom w:type="dxa" w:w="100"/>
              <w:right w:type="dxa" w:w="120"/>
            </w:tcMar>
            <w:vAlign w:val="top"/>
          </w:tcPr>
          <w:p>
            <w:r>
              <w:rPr>
                <w:rFonts w:ascii="Calibri" w:cs="Calibri" w:eastAsia="Calibri" w:hAnsi="Calibri"/>
                <w:b/>
                <w:bCs/>
                <w:color w:val="1A2233"/>
                <w:sz w:val="20"/>
                <w:szCs w:val="20"/>
              </w:rPr>
              <w:t xml:space="preserve">In-memory data store with no persistence</w:t>
            </w:r>
          </w:p>
        </w:tc>
        <w:tc>
          <w:tcPr>
            <w:tcW w:type="dxa" w:w="34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All payment records live in a JavaScript Map in server.js. A server restart or redeploy (which happens automatically on Render on every push) wipes all payment state, including which tokens were already paid.</w:t>
            </w:r>
          </w:p>
        </w:tc>
        <w:tc>
          <w:tcPr>
            <w:tcW w:type="dxa" w:w="35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Acceptable for a demo; not acceptable for production. Would need a real database with durable, audited records.</w:t>
            </w:r>
          </w:p>
        </w:tc>
      </w:tr>
      <w:tr>
        <w:tc>
          <w:tcPr>
            <w:tcW w:type="dxa" w:w="25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Shared signing keystore across all 3 “competing” bank apps</w:t>
            </w:r>
          </w:p>
        </w:tc>
        <w:tc>
          <w:tcPr>
            <w:tcW w:type="dxa" w:w="34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In this simulation, all 3 bank apps are deliberately signed with the same demo keystore for convenience. In reality, 3 competing banks would never share a signing identity — this was only done to test Android App Link verification, and does not reflect how production apps would be provisioned.</w:t>
            </w:r>
          </w:p>
        </w:tc>
        <w:tc>
          <w:tcPr>
            <w:tcW w:type="dxa" w:w="35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Reverted along with the verification experiment; each app should have its own independent signing identity in any real deployment.</w:t>
            </w:r>
          </w:p>
        </w:tc>
      </w:tr>
    </w:tbl>
    <w:p>
      <w:pPr>
        <w:spacing w:after="300"/>
      </w:pPr>
    </w:p>
    <w:p>
      <w:pPr>
        <w:pStyle w:val="Heading2"/>
        <w:spacing w:after="150" w:before="300"/>
      </w:pPr>
      <w:r>
        <w:t xml:space="preserve">UX / Consistency Risks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500"/>
      </w:tblGrid>
      <w:tr>
        <w:trPr>
          <w:tblHeader/>
        </w:trPr>
        <w:tc>
          <w:tcPr>
            <w:tcW w:type="dxa" w:w="25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Risk</w:t>
            </w:r>
          </w:p>
        </w:tc>
        <w:tc>
          <w:tcPr>
            <w:tcW w:type="dxa" w:w="34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Why it matters / failure scenario</w:t>
            </w:r>
          </w:p>
        </w:tc>
        <w:tc>
          <w:tcPr>
            <w:tcW w:type="dxa" w:w="35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Mitigation / current status</w:t>
            </w:r>
          </w:p>
        </w:tc>
      </w:tr>
      <w:tr>
        <w:tc>
          <w:tcPr>
            <w:tcW w:type="dxa" w:w="2500"/>
            <w:tcMar>
              <w:top w:type="dxa" w:w="100"/>
              <w:left w:type="dxa" w:w="120"/>
              <w:bottom w:type="dxa" w:w="100"/>
              <w:right w:type="dxa" w:w="120"/>
            </w:tcMar>
            <w:vAlign w:val="top"/>
          </w:tcPr>
          <w:p>
            <w:r>
              <w:rPr>
                <w:rFonts w:ascii="Calibri" w:cs="Calibri" w:eastAsia="Calibri" w:hAnsi="Calibri"/>
                <w:b/>
                <w:bCs/>
                <w:color w:val="1A2233"/>
                <w:sz w:val="20"/>
                <w:szCs w:val="20"/>
              </w:rPr>
              <w:t xml:space="preserve">Android requires one extra tap that iOS does not</w:t>
            </w:r>
          </w:p>
        </w:tc>
        <w:tc>
          <w:tcPr>
            <w:tcW w:type="dxa" w:w="34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iOS reaches its picker page directly; Android must bounce through a browser interstitial and a manual “Continue to pay” tap before the chooser appears. This is a platform UX asymmetry a user might notice or find inconsistent.</w:t>
            </w:r>
          </w:p>
        </w:tc>
        <w:tc>
          <w:tcPr>
            <w:tcW w:type="dxa" w:w="35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Inherent to the approach — confirmed to be the only way to reach a real chooser on Android given the constraints. Could be softened with clearer visual design on the interstitial page.</w:t>
            </w:r>
          </w:p>
        </w:tc>
      </w:tr>
      <w:tr>
        <w:tc>
          <w:tcPr>
            <w:tcW w:type="dxa" w:w="25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No visible fallback if a bank app isn’t installed</w:t>
            </w:r>
          </w:p>
        </w:tc>
        <w:tc>
          <w:tcPr>
            <w:tcW w:type="dxa" w:w="34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If a user selects a bank whose app isn’t installed, both platforms currently fail with no clear in-app message explaining what happened (the earlier “not installed” detection logic was removed at the user’s request for being unreliable).</w:t>
            </w:r>
          </w:p>
        </w:tc>
        <w:tc>
          <w:tcPr>
            <w:tcW w:type="dxa" w:w="35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Not currently handled. Could redirect to an app store listing or show a generic “couldn’t open that app” message as a future improvement.</w:t>
            </w:r>
          </w:p>
        </w:tc>
      </w:tr>
      <w:tr>
        <w:tc>
          <w:tcPr>
            <w:tcW w:type="dxa" w:w="2500"/>
            <w:shd w:fill="FBF3E8"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Behavior is highly device/OS/browser-version dependent</w:t>
            </w:r>
          </w:p>
        </w:tc>
        <w:tc>
          <w:tcPr>
            <w:tcW w:type="dxa" w:w="34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Every mechanism in this flow (default-browser policy, intent:// handling, chooser triggering) depends on specific OS and browser versions that can change independently of this codebase, making manual QA across real devices necessary before any release.</w:t>
            </w:r>
          </w:p>
        </w:tc>
        <w:tc>
          <w:tcPr>
            <w:tcW w:type="dxa" w:w="35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Not automatable in CI given reliance on real OS/browser behavior; requires periodic manual re-verification, especially after major Android/Chrome or iOS/Safari updates.</w:t>
            </w:r>
          </w:p>
        </w:tc>
      </w:tr>
    </w:tbl>
    <w:p>
      <w:pPr>
        <w:spacing w:after="300"/>
      </w:pPr>
    </w:p>
    <w:p>
      <w:pPr>
        <w:pStyle w:val="Heading2"/>
        <w:spacing w:after="150" w:before="300"/>
      </w:pPr>
      <w:r>
        <w:t xml:space="preserve">Conceptual / Architectural Risks</w:t>
      </w:r>
    </w:p>
    <w:p>
      <w:pPr>
        <w:spacing w:after="160"/>
      </w:pPr>
      <w:r>
        <w:rPr>
          <w:rFonts w:ascii="Calibri" w:cs="Calibri" w:eastAsia="Calibri" w:hAnsi="Calibri"/>
          <w:sz w:val="22"/>
          <w:szCs w:val="22"/>
        </w:rPr>
        <w:t xml:space="preserve">Risks around how this simulation relates — or doesn’t — to real-world payment systems.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500"/>
      </w:tblGrid>
      <w:tr>
        <w:trPr>
          <w:tblHeader/>
        </w:trPr>
        <w:tc>
          <w:tcPr>
            <w:tcW w:type="dxa" w:w="25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Risk</w:t>
            </w:r>
          </w:p>
        </w:tc>
        <w:tc>
          <w:tcPr>
            <w:tcW w:type="dxa" w:w="34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Why it matters / failure scenario</w:t>
            </w:r>
          </w:p>
        </w:tc>
        <w:tc>
          <w:tcPr>
            <w:tcW w:type="dxa" w:w="35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Mitigation / current status</w:t>
            </w:r>
          </w:p>
        </w:tc>
      </w:tr>
      <w:tr>
        <w:tc>
          <w:tcPr>
            <w:tcW w:type="dxa" w:w="2500"/>
            <w:tcMar>
              <w:top w:type="dxa" w:w="100"/>
              <w:left w:type="dxa" w:w="120"/>
              <w:bottom w:type="dxa" w:w="100"/>
              <w:right w:type="dxa" w:w="120"/>
            </w:tcMar>
            <w:vAlign w:val="top"/>
          </w:tcPr>
          <w:p>
            <w:r>
              <w:rPr>
                <w:rFonts w:ascii="Calibri" w:cs="Calibri" w:eastAsia="Calibri" w:hAnsi="Calibri"/>
                <w:b/>
                <w:bCs/>
                <w:color w:val="1A2233"/>
                <w:sz w:val="20"/>
                <w:szCs w:val="20"/>
              </w:rPr>
              <w:t xml:space="preserve">Doesn’t reflect how real multi-bank QR payments are routed</w:t>
            </w:r>
          </w:p>
        </w:tc>
        <w:tc>
          <w:tcPr>
            <w:tcW w:type="dxa" w:w="34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Real SGQR/PayNow-style systems typically resolve “which bank” through the payload/merchant configuration or a bank-selection step inside a single unified payment app, not by relying on the OS’s app-chooser dialog across independently owned bank apps. This project optimizes for demonstrating the Android chooser / iOS picker UX specifically, which is a simulation of the concept rather than the real production architecture.</w:t>
            </w:r>
          </w:p>
        </w:tc>
        <w:tc>
          <w:tcPr>
            <w:tcW w:type="dxa" w:w="35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None needed if the explicit goal is demonstrating deep-linking mechanics rather than replicating real payment-network architecture — worth stating clearly to any audience reviewing this as a reference.</w:t>
            </w:r>
          </w:p>
        </w:tc>
      </w:tr>
      <w:tr>
        <w:tc>
          <w:tcPr>
            <w:tcW w:type="dxa" w:w="25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Verified App Links and Universal Links were evaluated and rejected for this use case</w:t>
            </w:r>
          </w:p>
        </w:tc>
        <w:tc>
          <w:tcPr>
            <w:tcW w:type="dxa" w:w="34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This project deliberately does NOT verify Android App Links or register iOS Universal Links, because doing so (confirmed via direct device testing) causes the OS to silently resolve to one app instead of presenting a choice — the opposite of the desired behavior. Any future maintainer might reasonably assume verification is simply an omission or improvement opportunity; it is not.</w:t>
            </w:r>
          </w:p>
        </w:tc>
        <w:tc>
          <w:tcPr>
            <w:tcW w:type="dxa" w:w="35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Documented in code comments (AndroidManifest.xml, server.js) and in the project README/decks. Any change reintroducing verification should be understood to remove the chooser/picker behavior entirely.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21295C"/>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065A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SGQR Deep Linking — Technical Glossary &amp; Risk Assessment</dc:title>
  <dc:creator>SGQR Deep Link Demo</dc:creator>
  <cp:lastModifiedBy>Un-named</cp:lastModifiedBy>
  <cp:revision>1</cp:revision>
  <dcterms:created xsi:type="dcterms:W3CDTF">2026-07-14T04:01:58.154Z</dcterms:created>
  <dcterms:modified xsi:type="dcterms:W3CDTF">2026-07-14T04:01:58.162Z</dcterms:modified>
</cp:coreProperties>
</file>

<file path=docProps/custom.xml><?xml version="1.0" encoding="utf-8"?>
<Properties xmlns="http://schemas.openxmlformats.org/officeDocument/2006/custom-properties" xmlns:vt="http://schemas.openxmlformats.org/officeDocument/2006/docPropsVTypes"/>
</file>