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540" w:left="907" w:right="907" w:header="720" w:footer="720"/>
          <w:pgNumType w:start="1"/>
        </w:sectPr>
      </w:pPr>
      <w:bookmarkStart w:colFirst="0" w:colLast="0" w:name="_gs943ep2dgqs" w:id="0"/>
      <w:bookmarkEnd w:id="0"/>
    </w:p>
    <w:p w:rsidR="00000000" w:rsidDel="00000000" w:rsidP="00000000" w:rsidRDefault="00000000" w:rsidRPr="00000000" w14:paraId="00000002">
      <w:pPr>
        <w:pStyle w:val="Title"/>
        <w:spacing w:after="360" w:line="240" w:lineRule="auto"/>
        <w:jc w:val="center"/>
        <w:rPr>
          <w:rFonts w:ascii="Times New Roman" w:cs="Times New Roman" w:eastAsia="Times New Roman" w:hAnsi="Times New Roman"/>
          <w:sz w:val="48"/>
          <w:szCs w:val="48"/>
        </w:rPr>
      </w:pPr>
      <w:bookmarkStart w:colFirst="0" w:colLast="0" w:name="_3ohg7650w9y2" w:id="1"/>
      <w:bookmarkEnd w:id="1"/>
      <w:r w:rsidDel="00000000" w:rsidR="00000000" w:rsidRPr="00000000">
        <w:rPr>
          <w:rFonts w:ascii="Times New Roman" w:cs="Times New Roman" w:eastAsia="Times New Roman" w:hAnsi="Times New Roman"/>
          <w:sz w:val="48"/>
          <w:szCs w:val="48"/>
          <w:rtl w:val="0"/>
        </w:rPr>
        <w:t>Two-Stage YOLO26 Instance Segmentation of Visible Post-Harvest Surface Defects on Apple and Tomato</w:t>
      </w:r>
    </w:p>
    <w:p w:rsidR="00000000" w:rsidDel="00000000" w:rsidP="00000000" w:rsidRDefault="00000000" w:rsidRPr="00000000" w14:paraId="00000003">
      <w:pPr>
        <w:spacing w:line="240" w:lineRule="auto"/>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1312.910156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04">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Ralph Kevin G. Morales</w:t>
            </w: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Information Technology</w:t>
            </w: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Mapúa University</w:t>
            </w: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Fonts w:ascii="Times New Roman" w:cs="Times New Roman" w:eastAsia="Times New Roman" w:hAnsi="Times New Roman"/>
                <w:sz w:val="18"/>
                <w:szCs w:val="18"/>
                <w:rtl w:val="0"/>
              </w:rPr>
              <w:t xml:space="preserve">Manila, Philippines</w:t>
            </w: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Fonts w:ascii="Times New Roman" w:cs="Times New Roman" w:eastAsia="Times New Roman" w:hAnsi="Times New Roman"/>
                <w:sz w:val="18"/>
                <w:szCs w:val="18"/>
                <w:rtl w:val="0"/>
              </w:rPr>
              <w:t xml:space="preserve">email@example.com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09">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Alexander Jann P. Espia</w:t>
            </w: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Information Technology</w:t>
            </w: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Mapúa University</w:t>
            </w: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Fonts w:ascii="Times New Roman" w:cs="Times New Roman" w:eastAsia="Times New Roman" w:hAnsi="Times New Roman"/>
                <w:sz w:val="18"/>
                <w:szCs w:val="18"/>
                <w:rtl w:val="0"/>
              </w:rPr>
              <w:t xml:space="preserve">Manila, Philippines</w:t>
            </w: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Fonts w:ascii="Times New Roman" w:cs="Times New Roman" w:eastAsia="Times New Roman" w:hAnsi="Times New Roman"/>
                <w:sz w:val="18"/>
                <w:szCs w:val="18"/>
                <w:rtl w:val="0"/>
              </w:rPr>
              <w:t xml:space="preserve">email@example.com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0E">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Deangelo James P. Largueza</w:t>
            </w: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Information Technology</w:t>
            </w: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Mapúa University</w:t>
            </w: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Fonts w:ascii="Times New Roman" w:cs="Times New Roman" w:eastAsia="Times New Roman" w:hAnsi="Times New Roman"/>
                <w:sz w:val="18"/>
                <w:szCs w:val="18"/>
                <w:rtl w:val="0"/>
              </w:rPr>
              <w:t xml:space="preserve">Manila, Philippines</w:t>
            </w: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Fonts w:ascii="Times New Roman" w:cs="Times New Roman" w:eastAsia="Times New Roman" w:hAnsi="Times New Roman"/>
                <w:sz w:val="18"/>
                <w:szCs w:val="18"/>
                <w:rtl w:val="0"/>
              </w:rPr>
              <w:t xml:space="preserve">email@example.com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13">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Niel Francis M. Arligue</w:t>
            </w: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Information Technology</w:t>
            </w:r>
            <w:r w:rsidDel="00000000" w:rsidR="00000000" w:rsidRPr="00000000">
              <w:rPr>
                <w:rtl w:val="0"/>
              </w:rPr>
            </w:r>
          </w:p>
          <w:p w:rsidR="00000000" w:rsidDel="00000000" w:rsidP="00000000" w:rsidRDefault="00000000" w:rsidRPr="00000000" w14:paraId="00000015">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Mapúa University</w:t>
            </w: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Fonts w:ascii="Times New Roman" w:cs="Times New Roman" w:eastAsia="Times New Roman" w:hAnsi="Times New Roman"/>
                <w:sz w:val="18"/>
                <w:szCs w:val="18"/>
                <w:rtl w:val="0"/>
              </w:rPr>
              <w:t xml:space="preserve">Manila, Philippines</w:t>
            </w: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Fonts w:ascii="Times New Roman" w:cs="Times New Roman" w:eastAsia="Times New Roman" w:hAnsi="Times New Roman"/>
                <w:sz w:val="18"/>
                <w:szCs w:val="18"/>
                <w:rtl w:val="0"/>
              </w:rPr>
              <w:t xml:space="preserve">email@example.com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18">
            <w:pPr>
              <w:spacing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Lysa V. Comia</w:t>
            </w:r>
            <w:r w:rsidDel="00000000" w:rsidR="00000000" w:rsidRPr="00000000">
              <w:rPr>
                <w:rtl w:val="0"/>
              </w:rPr>
            </w:r>
          </w:p>
          <w:p w:rsidR="00000000" w:rsidDel="00000000" w:rsidP="00000000" w:rsidRDefault="00000000" w:rsidRPr="00000000" w14:paraId="00000019">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Information Technology</w:t>
            </w:r>
            <w:r w:rsidDel="00000000" w:rsidR="00000000" w:rsidRPr="00000000">
              <w:rPr>
                <w:rtl w:val="0"/>
              </w:rPr>
            </w:r>
          </w:p>
          <w:p w:rsidR="00000000" w:rsidDel="00000000" w:rsidP="00000000" w:rsidRDefault="00000000" w:rsidRPr="00000000" w14:paraId="0000001A">
            <w:pPr>
              <w:spacing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Mapúa University</w:t>
            </w:r>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Fonts w:ascii="Times New Roman" w:cs="Times New Roman" w:eastAsia="Times New Roman" w:hAnsi="Times New Roman"/>
                <w:sz w:val="18"/>
                <w:szCs w:val="18"/>
                <w:rtl w:val="0"/>
              </w:rPr>
              <w:t xml:space="preserve">Manila, Philippines</w:t>
            </w: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Fonts w:ascii="Times New Roman" w:cs="Times New Roman" w:eastAsia="Times New Roman" w:hAnsi="Times New Roman"/>
                <w:sz w:val="18"/>
                <w:szCs w:val="18"/>
                <w:rtl w:val="0"/>
              </w:rPr>
              <w:t xml:space="preserve">email@example.com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tcPr>
          <w:p w:rsidR="00000000" w:rsidDel="00000000" w:rsidP="00000000" w:rsidRDefault="00000000" w:rsidRPr="00000000" w14:paraId="0000001D">
            <w:pPr>
              <w:spacing w:line="240" w:lineRule="auto"/>
              <w:jc w:val="center"/>
              <w:rPr/>
            </w:pPr>
            <w:r w:rsidDel="00000000" w:rsidR="00000000" w:rsidRPr="00000000">
              <w:rPr>
                <w:rtl w:val="0"/>
              </w:rPr>
            </w:r>
          </w:p>
        </w:tc>
      </w:tr>
    </w:tbl>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z w:val="2"/>
          <w:szCs w:val="2"/>
        </w:rPr>
        <w:sectPr>
          <w:type w:val="nextPage"/>
          <w:pgSz w:h="16838" w:w="11906" w:orient="portrait"/>
          <w:pgMar w:bottom="1440" w:top="540" w:left="907" w:right="907" w:header="720" w:footer="720"/>
          <w:pgNumType w:start="1"/>
          <w:cols w:equalWidth="0" w:num="1">
            <w:col w:space="0" w:w="10091.5"/>
          </w:cols>
        </w:sectPr>
      </w:pPr>
      <w:r w:rsidDel="00000000" w:rsidR="00000000" w:rsidRPr="00000000">
        <w:rPr>
          <w:rtl w:val="0"/>
        </w:rPr>
      </w:r>
    </w:p>
    <w:p>
      <w:pPr>
        <w:spacing w:after="80"/>
        <w:jc w:val="both"/>
      </w:pPr>
      <w:r>
        <w:rPr>
          <w:rFonts w:ascii="Times New Roman" w:hAnsi="Times New Roman"/>
          <w:b/>
          <w:i/>
          <w:sz w:val="18"/>
        </w:rPr>
        <w:t xml:space="preserve">Abstract: </w:t>
      </w:r>
      <w:r>
        <w:rPr>
          <w:rFonts w:ascii="Times New Roman" w:hAnsi="Times New Roman"/>
          <w:b/>
          <w:i w:val="0"/>
          <w:sz w:val="18"/>
        </w:rPr>
        <w:t xml:space="preserve">Post-harvest grading datasets label whole images but do not show where a defect is. This study builds pixel-level masks for visible surface defects on apple and tomato and trains a two-stage YOLO26 instance segmentation model. Stage 1 learns the whole fruit. Stage 2 starts from the Stage 1 weights and learns three defect classes: bruise or discoloration, rot mold or decay, and surface damage. The apple set has 2,110 training files from 726 capture groups and frozen validation and test splits with no shared capture groups. On validation the YOLO26l Stage 1 model reached </w:t>
      </w:r>
      <w:r>
        <w:rPr>
          <w:rFonts w:ascii="Times New Roman" w:hAnsi="Times New Roman"/>
          <w:b/>
          <w:i w:val="0"/>
          <w:sz w:val="18"/>
        </w:rPr>
        <w:t>98.5%</w:t>
      </w:r>
      <w:r>
        <w:rPr>
          <w:rFonts w:ascii="Times New Roman" w:hAnsi="Times New Roman"/>
          <w:b/>
          <w:i w:val="0"/>
          <w:sz w:val="18"/>
        </w:rPr>
        <w:t xml:space="preserve"> mask mAP50 for the whole apple and the Stage 2 model reached </w:t>
      </w:r>
      <w:r>
        <w:rPr>
          <w:rFonts w:ascii="Times New Roman" w:hAnsi="Times New Roman"/>
          <w:b/>
          <w:i w:val="0"/>
          <w:sz w:val="18"/>
        </w:rPr>
        <w:t>68.8%</w:t>
      </w:r>
      <w:r>
        <w:rPr>
          <w:rFonts w:ascii="Times New Roman" w:hAnsi="Times New Roman"/>
          <w:b/>
          <w:i w:val="0"/>
          <w:sz w:val="18"/>
        </w:rPr>
        <w:t xml:space="preserve"> mask mAP50 over the three defect classes. On the untouched test split the Stage 2 model reached </w:t>
      </w:r>
      <w:r>
        <w:rPr>
          <w:rFonts w:ascii="Times New Roman" w:hAnsi="Times New Roman"/>
          <w:b/>
          <w:i w:val="0"/>
          <w:sz w:val="18"/>
        </w:rPr>
        <w:t>61.3%</w:t>
      </w:r>
      <w:r>
        <w:rPr>
          <w:rFonts w:ascii="Times New Roman" w:hAnsi="Times New Roman"/>
          <w:b/>
          <w:i w:val="0"/>
          <w:sz w:val="18"/>
        </w:rPr>
        <w:t xml:space="preserve"> mask mAP50. Tomato results are </w:t>
      </w:r>
      <w:r>
        <w:rPr>
          <w:rFonts w:ascii="Times New Roman" w:hAnsi="Times New Roman"/>
          <w:b/>
          <w:i w:val="0"/>
          <w:sz w:val="18"/>
          <w:highlight w:val="yellow"/>
        </w:rPr>
        <w:t>[TBD]</w:t>
      </w:r>
      <w:r>
        <w:rPr>
          <w:rFonts w:ascii="Times New Roman" w:hAnsi="Times New Roman"/>
          <w:b/>
          <w:i w:val="0"/>
          <w:sz w:val="18"/>
        </w:rPr>
        <w:t>. Rot was the most stable class and surface damage the hardest. A Streamlit application runs both stages on uploaded photos.</w:t>
      </w:r>
    </w:p>
    <w:p>
      <w:pPr>
        <w:spacing w:after="80"/>
        <w:jc w:val="both"/>
      </w:pPr>
      <w:r>
        <w:rPr>
          <w:rFonts w:ascii="Times New Roman" w:hAnsi="Times New Roman"/>
          <w:b/>
          <w:i/>
          <w:sz w:val="18"/>
        </w:rPr>
        <w:t xml:space="preserve">Keywords: </w:t>
      </w:r>
      <w:r>
        <w:rPr>
          <w:rFonts w:ascii="Times New Roman" w:hAnsi="Times New Roman"/>
          <w:b w:val="0"/>
          <w:i/>
          <w:sz w:val="18"/>
        </w:rPr>
        <w:t>instance segmentation, post-harvest fruit defects, YOLO26, two-stage training, apple, tomato</w:t>
      </w:r>
    </w:p>
    <w:p>
      <w:pPr>
        <w:pStyle w:val="Heading1"/>
      </w:pPr>
      <w:r>
        <w:t>I. INTRODUCTION</w:t>
      </w:r>
    </w:p>
    <w:p>
      <w:pPr>
        <w:spacing w:after="80"/>
        <w:ind w:firstLine="200"/>
        <w:jc w:val="both"/>
      </w:pPr>
      <w:r>
        <w:rPr>
          <w:rFonts w:ascii="Times New Roman" w:hAnsi="Times New Roman"/>
          <w:b w:val="0"/>
          <w:i w:val="0"/>
          <w:sz w:val="20"/>
        </w:rPr>
        <w:t>Visible surface defects are an important part of post-harvest fruit quality assessment. A grade assigned to a whole image does not show where a defect is or how much of the surface it covers. AFruitDB provides 3,167 images of six fruit types sorted into three quality grades [1]. These image-level labels support grading research but do not give the pixel-level information needed to outline damaged regions.</w:t>
      </w:r>
    </w:p>
    <w:p>
      <w:pPr>
        <w:spacing w:after="80"/>
        <w:ind w:firstLine="200"/>
        <w:jc w:val="both"/>
      </w:pPr>
      <w:r>
        <w:rPr>
          <w:rFonts w:ascii="Times New Roman" w:hAnsi="Times New Roman"/>
          <w:b w:val="0"/>
          <w:i w:val="0"/>
          <w:sz w:val="20"/>
        </w:rPr>
        <w:t>Computer vision tasks differ in what they output. Image classification gives one label per image. Object detection draws a bounding box around each object. Instance segmentation outputs a mask for each object, which is the exact set of pixels it covers. Mask R-CNN established this approach by predicting a mask together with each class and box [2]. A box around a small or irregular bruise also contains healthy skin so a mask is a better fit for fruit inspection.</w:t>
      </w:r>
    </w:p>
    <w:p>
      <w:pPr>
        <w:spacing w:after="80"/>
        <w:ind w:firstLine="200"/>
        <w:jc w:val="both"/>
      </w:pPr>
      <w:r>
        <w:rPr>
          <w:rFonts w:ascii="Times New Roman" w:hAnsi="Times New Roman"/>
          <w:b w:val="0"/>
          <w:i w:val="0"/>
          <w:sz w:val="20"/>
        </w:rPr>
        <w:t>Earlier studies show that pixel-level analysis helps produce inspection. Agarla et al. segmented apple defects using color and multispectral images [3]. Knott et al. combined banana foreground segmentation with individual defect masks for defect-based grading [4]. Leiva et al. trained YOLO11 in two phases on apples with scab, first on the fruit and then on the disease, and reported that the first phase helped the second [5]. Their results cannot be assumed to transfer to a new mixed-source dataset with different defect categories.</w:t>
      </w:r>
    </w:p>
    <w:p>
      <w:pPr>
        <w:spacing w:after="80"/>
        <w:ind w:firstLine="200"/>
        <w:jc w:val="both"/>
      </w:pPr>
      <w:r>
        <w:rPr>
          <w:rFonts w:ascii="Times New Roman" w:hAnsi="Times New Roman"/>
          <w:b w:val="0"/>
          <w:i w:val="0"/>
          <w:sz w:val="20"/>
        </w:rPr>
        <w:t>This study segments visible post-harvest surface defects on apple and tomato in RGB photos. It adapts the two-phase idea of [5] to YOLO26. Stage 1 segments the whole fruit. Stage 2 starts from the Stage 1 weights and segments three defect classes. The classes describe visible appearance only. They do not confirm a disease or internal damage.</w:t>
      </w:r>
    </w:p>
    <w:p>
      <w:pPr>
        <w:spacing w:after="80"/>
        <w:ind w:firstLine="200"/>
        <w:jc w:val="both"/>
      </w:pPr>
      <w:r>
        <w:rPr>
          <w:rFonts w:ascii="Times New Roman" w:hAnsi="Times New Roman"/>
          <w:b w:val="0"/>
          <w:i w:val="0"/>
          <w:sz w:val="20"/>
        </w:rPr>
        <w:t>The contributions are: (1) a reviewed set of polygon masks for three visible defect classes built on top of image-level grading photos, (2) a frozen leakage-controlled split by capture group, (3) a record of 20 training runs from the first pilot to the final model, (4) a two-stage YOLO26l model evaluated on an untouched test split, and (5) an upload-and-predict web application.</w:t>
      </w:r>
    </w:p>
    <w:p>
      <w:pPr>
        <w:pStyle w:val="Heading1"/>
      </w:pPr>
      <w:r>
        <w:t>II. REVIEW OF RELATED LITERATURE</w:t>
      </w:r>
    </w:p>
    <w:p>
      <w:pPr>
        <w:pStyle w:val="Heading2"/>
      </w:pPr>
      <w:r>
        <w:t>A. Fruit Grading Data and Pixel-Level Annotations</w:t>
      </w:r>
    </w:p>
    <w:p>
      <w:pPr>
        <w:spacing w:after="80"/>
        <w:ind w:firstLine="200"/>
        <w:jc w:val="both"/>
      </w:pPr>
      <w:r>
        <w:rPr>
          <w:rFonts w:ascii="Times New Roman" w:hAnsi="Times New Roman"/>
          <w:b w:val="0"/>
          <w:i w:val="0"/>
          <w:sz w:val="20"/>
        </w:rPr>
        <w:t>Mojumdar et al. introduced AFruitDB for grading six common Asian fruits [1]. Images are organized by fruit and grade. A grade does not mark the boundary of a bruise or scar and a lower grade does not name a defect type. In this study defect labels were therefore assigned by inspecting each image and not inferred from grade folders.</w:t>
      </w:r>
    </w:p>
    <w:p>
      <w:pPr>
        <w:spacing w:after="80"/>
        <w:ind w:firstLine="200"/>
        <w:jc w:val="both"/>
      </w:pPr>
      <w:r>
        <w:rPr>
          <w:rFonts w:ascii="Times New Roman" w:hAnsi="Times New Roman"/>
          <w:b w:val="0"/>
          <w:i w:val="0"/>
          <w:sz w:val="20"/>
        </w:rPr>
        <w:t>Whole-fruit masks also change the role of healthy-looking images. Each image still needs a fruit mask and simply has no defect mask when careful inspection finds none. This keeps fruit identity separate from visible damage and allows several defect regions on one fruit.</w:t>
      </w:r>
    </w:p>
    <w:p>
      <w:pPr>
        <w:pStyle w:val="Heading2"/>
      </w:pPr>
      <w:r>
        <w:t>B. Segmentation for Fruit Defect Assessment</w:t>
      </w:r>
    </w:p>
    <w:p>
      <w:pPr>
        <w:spacing w:after="80"/>
        <w:ind w:firstLine="200"/>
        <w:jc w:val="both"/>
      </w:pPr>
      <w:r>
        <w:rPr>
          <w:rFonts w:ascii="Times New Roman" w:hAnsi="Times New Roman"/>
          <w:b w:val="0"/>
          <w:i w:val="0"/>
          <w:sz w:val="20"/>
        </w:rPr>
        <w:t>Agarla et al. built a U-shaped network for quasi real-time apple defect segmentation and studied the value of near-infrared input [3]. Their work labels defective pixels rather than a whole-fruit grade. It used a different imaging setup and did not separate several visually similar defect types.</w:t>
      </w:r>
    </w:p>
    <w:p>
      <w:pPr>
        <w:spacing w:after="80"/>
        <w:ind w:firstLine="200"/>
        <w:jc w:val="both"/>
      </w:pPr>
      <w:r>
        <w:rPr>
          <w:rFonts w:ascii="Times New Roman" w:hAnsi="Times New Roman"/>
          <w:b w:val="0"/>
          <w:i w:val="0"/>
          <w:sz w:val="20"/>
        </w:rPr>
        <w:t>Tan et al. measured internal bruising in cut blueberries by segmenting the cross-section and the bruised tissue separately [6]. This is a useful precedent for pairing an object mask with a damage mask. It studied internal tissue so its scores do not apply to external defects on whole fruit.</w:t>
      </w:r>
    </w:p>
    <w:p>
      <w:pPr>
        <w:spacing w:after="80"/>
        <w:ind w:firstLine="200"/>
        <w:jc w:val="both"/>
      </w:pPr>
      <w:r>
        <w:rPr>
          <w:rFonts w:ascii="Times New Roman" w:hAnsi="Times New Roman"/>
          <w:b w:val="0"/>
          <w:i w:val="0"/>
          <w:sz w:val="20"/>
        </w:rPr>
        <w:t>Knott et al. used weakly supervised panoptic segmentation for banana grading with defect instances such as bruises and scars [4]. Box prompts and human checks supported mask preparation. Leiva et al. used YOLO11 segmentation for apple scab with a fruit phase before a disease phase [5]. The present study follows this staged design but uses three appearance classes and two fruits.</w:t>
      </w:r>
    </w:p>
    <w:p>
      <w:pPr>
        <w:pStyle w:val="Heading2"/>
      </w:pPr>
      <w:r>
        <w:t>C. Instance Segmentation and Human-Reviewed Masks</w:t>
      </w:r>
    </w:p>
    <w:p>
      <w:pPr>
        <w:spacing w:after="80"/>
        <w:ind w:firstLine="200"/>
        <w:jc w:val="both"/>
      </w:pPr>
      <w:r>
        <w:rPr>
          <w:rFonts w:ascii="Times New Roman" w:hAnsi="Times New Roman"/>
          <w:b w:val="0"/>
          <w:i w:val="0"/>
          <w:sz w:val="20"/>
        </w:rPr>
        <w:t>Mask R-CNN shows that recognition and mask prediction can be learned in one framework [2]. A strong architecture still depends on consistent labels. Annotation quality is therefore treated as part of the research design.</w:t>
      </w:r>
    </w:p>
    <w:p>
      <w:pPr>
        <w:spacing w:after="80"/>
        <w:ind w:firstLine="200"/>
        <w:jc w:val="both"/>
      </w:pPr>
      <w:r>
        <w:rPr>
          <w:rFonts w:ascii="Times New Roman" w:hAnsi="Times New Roman"/>
          <w:b w:val="0"/>
          <w:i w:val="0"/>
          <w:sz w:val="20"/>
        </w:rPr>
        <w:t>The Segment Anything Model (SAM) produces masks from point or box prompts [7]. It can speed up outlining but a generated shape does not confirm that a region is a bruise or rot. Every assisted mask in this study was checked by a team member for both boundary and class.</w:t>
      </w:r>
    </w:p>
    <w:p>
      <w:pPr>
        <w:pStyle w:val="Heading2"/>
      </w:pPr>
      <w:r>
        <w:t>D. Robustness and Evaluation</w:t>
      </w:r>
    </w:p>
    <w:p>
      <w:pPr>
        <w:spacing w:after="80"/>
        <w:ind w:firstLine="200"/>
        <w:jc w:val="both"/>
      </w:pPr>
      <w:r>
        <w:rPr>
          <w:rFonts w:ascii="Times New Roman" w:hAnsi="Times New Roman"/>
          <w:b w:val="0"/>
          <w:i w:val="0"/>
          <w:sz w:val="20"/>
        </w:rPr>
        <w:t>Nesteruk et al. combined image collection with augmentation for apple rot segmentation under changing conditions [8]. Their work shows how hard it is to transfer a model beyond its training conditions. Augmentation adds variety but does not replace evaluation on genuinely new images. This study keeps a frozen test split that was never used for training or model selection.</w:t>
      </w:r>
    </w:p>
    <w:p>
      <w:pPr>
        <w:pStyle w:val="Heading2"/>
      </w:pPr>
      <w:r>
        <w:t>E. Synthesis</w:t>
      </w:r>
    </w:p>
    <w:p>
      <w:pPr>
        <w:spacing w:after="80"/>
        <w:ind w:firstLine="200"/>
        <w:jc w:val="both"/>
      </w:pPr>
      <w:r>
        <w:rPr>
          <w:rFonts w:ascii="Times New Roman" w:hAnsi="Times New Roman"/>
          <w:b w:val="0"/>
          <w:i w:val="0"/>
          <w:sz w:val="20"/>
        </w:rPr>
        <w:t>The reviewed work supports three design choices: masks for irregular damage, a fruit mask kept separate from defect masks, and human review of assisted labels. It also shows that results on one fruit or setup do not prove performance on another. The question here is how well a two-stage YOLO26 model segments visible defects once grading photos are extended with reviewed masks.</w:t>
      </w:r>
    </w:p>
    <w:p>
      <w:pPr>
        <w:pStyle w:val="Heading1"/>
      </w:pPr>
      <w:r>
        <w:t>III. DATASET AND ANNOTATION</w:t>
      </w:r>
    </w:p>
    <w:p>
      <w:pPr>
        <w:pStyle w:val="Heading2"/>
      </w:pPr>
      <w:r>
        <w:t>A. Image Sources</w:t>
      </w:r>
    </w:p>
    <w:p>
      <w:pPr>
        <w:spacing w:after="80"/>
        <w:ind w:firstLine="200"/>
        <w:jc w:val="both"/>
      </w:pPr>
      <w:r>
        <w:rPr>
          <w:rFonts w:ascii="Times New Roman" w:hAnsi="Times New Roman"/>
          <w:b w:val="0"/>
          <w:i w:val="0"/>
          <w:sz w:val="20"/>
        </w:rPr>
        <w:t>Apple images come from three sources. AFruitDB grading photos [1] supply 986 training files. The Lab2Wild apple rot set by Nesteruk [9] supplies 843. Photos taken by the team supply 281. The original AFruitDB grade folders are image-level labels and were not used as training targets. All pixel masks were drawn by the team. Tomato images come from AFruitDB [1] and team captures. Tomato counts are reported in Section V.</w:t>
      </w:r>
    </w:p>
    <w:p>
      <w:pPr>
        <w:pStyle w:val="Heading2"/>
      </w:pPr>
      <w:r>
        <w:t>B. Classes and Annotation Protocol</w:t>
      </w:r>
    </w:p>
    <w:p>
      <w:pPr>
        <w:spacing w:after="80"/>
        <w:ind w:firstLine="200"/>
        <w:jc w:val="both"/>
      </w:pPr>
      <w:r>
        <w:rPr>
          <w:rFonts w:ascii="Times New Roman" w:hAnsi="Times New Roman"/>
          <w:b w:val="0"/>
          <w:i w:val="0"/>
          <w:sz w:val="20"/>
        </w:rPr>
        <w:t>Polygons were drawn in Roboflow [10] and a local SAM-assisted tool [7] that proposes a mask from clicks. Every proposal was reviewed and corrected by a team member. Pilots began with five defect classes. Cut or crack and spot or scar were rare and often confused so they were combined as surface damage. Visible mold was combined with rot. The final classes are listed in Table I. Shadows, glare, stems, natural speckling and normal ripening color are excluded.</w:t>
      </w:r>
    </w:p>
    <w:p>
      <w:pPr>
        <w:spacing w:after="40"/>
        <w:jc w:val="center"/>
      </w:pPr>
      <w:r>
        <w:rPr>
          <w:rFonts w:ascii="Times New Roman" w:hAnsi="Times New Roman"/>
          <w:b w:val="0"/>
          <w:i w:val="0"/>
          <w:smallCaps/>
          <w:sz w:val="16"/>
        </w:rPr>
        <w:t>TABLE I. DEFECT CLASSES AND APPLE TRAINING COUNTS</w:t>
      </w:r>
    </w:p>
    <w:tbl>
      <w:tblPr>
        <w:tblW w:type="auto" w:w="0"/>
        <w:jc w:val="center"/>
        <w:tblLook w:firstColumn="1" w:firstRow="1" w:lastColumn="0" w:lastRow="0" w:noHBand="0" w:noVBand="1" w:val="04A0"/>
      </w:tblPr>
      <w:tblGrid>
        <w:gridCol w:w="2523"/>
        <w:gridCol w:w="2523"/>
        <w:gridCol w:w="2523"/>
        <w:gridCol w:w="2523"/>
      </w:tblGrid>
      <w:tr>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Class</w:t>
            </w:r>
          </w:p>
        </w:tc>
        <w:tc>
          <w:tcPr>
            <w:tcW w:type="dxa" w:w="1872"/>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Visible appearance</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Train images</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Train masks</w:t>
            </w:r>
          </w:p>
        </w:tc>
      </w:tr>
      <w:tr>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bruise_discoloration</w:t>
            </w:r>
          </w:p>
        </w:tc>
        <w:tc>
          <w:tcPr>
            <w:tcW w:type="dxa" w:w="1872"/>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Smooth dark or discolored patch</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607</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709</w:t>
            </w:r>
          </w:p>
        </w:tc>
      </w:tr>
      <w:tr>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rot_mold_decay</w:t>
            </w:r>
          </w:p>
        </w:tc>
        <w:tc>
          <w:tcPr>
            <w:tcW w:type="dxa" w:w="1872"/>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Soft collapsed or moldy tissue</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620</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697</w:t>
            </w:r>
          </w:p>
        </w:tc>
      </w:tr>
      <w:tr>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surface_damage</w:t>
            </w:r>
          </w:p>
        </w:tc>
        <w:tc>
          <w:tcPr>
            <w:tcW w:type="dxa" w:w="1872"/>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Cut crack scar or dry spot</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547</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873</w:t>
            </w:r>
          </w:p>
        </w:tc>
      </w:tr>
    </w:tbl>
    <w:p>
      <w:pPr>
        <w:spacing w:after="40"/>
        <w:jc w:val="both"/>
      </w:pPr>
      <w:r>
        <w:rPr>
          <w:rFonts w:ascii="Times New Roman" w:hAnsi="Times New Roman"/>
          <w:b w:val="0"/>
          <w:i w:val="0"/>
          <w:sz w:val="20"/>
        </w:rPr>
      </w:r>
    </w:p>
    <w:p>
      <w:pPr>
        <w:pStyle w:val="Heading2"/>
      </w:pPr>
      <w:r>
        <w:t>C. Splits and Leakage Control</w:t>
      </w:r>
    </w:p>
    <w:p>
      <w:pPr>
        <w:spacing w:after="80"/>
        <w:ind w:firstLine="200"/>
        <w:jc w:val="both"/>
      </w:pPr>
      <w:r>
        <w:rPr>
          <w:rFonts w:ascii="Times New Roman" w:hAnsi="Times New Roman"/>
          <w:b w:val="0"/>
          <w:i w:val="0"/>
          <w:sz w:val="20"/>
        </w:rPr>
        <w:t>The Roboflow training export contains up to three augmented variants of many photos. The 2,110 training files therefore come from 726 capture groups and not 2,110 distinct photos. Each group stays in one split. Validation has 215 images from 210 groups and test has 79 images from 75 groups. A further 63 images form a protected reserve that was not used at all. Exact pixel hashes and capture groups were checked for overlap across splits and none was found. 545 training images have no defect mask and act as negatives.</w:t>
      </w:r>
    </w:p>
    <w:p>
      <w:pPr>
        <w:pStyle w:val="Heading1"/>
      </w:pPr>
      <w:r>
        <w:t>IV. METHODOLOGY</w:t>
      </w:r>
    </w:p>
    <w:p>
      <w:pPr>
        <w:pStyle w:val="Heading2"/>
      </w:pPr>
      <w:r>
        <w:t>A. Two-Stage Training</w:t>
      </w:r>
    </w:p>
    <w:p>
      <w:pPr>
        <w:spacing w:after="80"/>
        <w:ind w:firstLine="200"/>
        <w:jc w:val="both"/>
      </w:pPr>
      <w:r>
        <w:rPr>
          <w:rFonts w:ascii="Times New Roman" w:hAnsi="Times New Roman"/>
          <w:b w:val="0"/>
          <w:i w:val="0"/>
          <w:sz w:val="20"/>
        </w:rPr>
        <w:t>YOLO26 is the 2026 release of the Ultralytics YOLO family [11]. The large segmentation variant YOLO26l-seg was used. In Stage 1 the model learns a single fruit class on every training image including damaged fruit. In Stage 2 the Stage 1 best checkpoint initializes a new run with three defect outputs, a fresh AdamW optimizer and a new learning-rate schedule. Shared backbone and neck weights carry over and the output layers are rebuilt. Table II lists the settings.</w:t>
      </w:r>
    </w:p>
    <w:p>
      <w:pPr>
        <w:spacing w:after="40"/>
        <w:jc w:val="center"/>
      </w:pPr>
      <w:r>
        <w:rPr>
          <w:rFonts w:ascii="Times New Roman" w:hAnsi="Times New Roman"/>
          <w:b w:val="0"/>
          <w:i w:val="0"/>
          <w:smallCaps/>
          <w:sz w:val="16"/>
        </w:rPr>
        <w:t>TABLE II. TRAINING SETTINGS (APPLE)</w:t>
      </w:r>
    </w:p>
    <w:tbl>
      <w:tblPr>
        <w:tblW w:type="auto" w:w="0"/>
        <w:jc w:val="center"/>
        <w:tblLook w:firstColumn="1" w:firstRow="1" w:lastColumn="0" w:lastRow="0" w:noHBand="0" w:noVBand="1" w:val="04A0"/>
      </w:tblPr>
      <w:tblGrid>
        <w:gridCol w:w="3364"/>
        <w:gridCol w:w="3364"/>
        <w:gridCol w:w="3364"/>
      </w:tblGrid>
      <w:tr>
        <w:tc>
          <w:tcPr>
            <w:tcW w:type="dxa" w:w="172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Setting</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Stage 1 (Run 21)</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Stage 2 (Run 22)</w:t>
            </w:r>
          </w:p>
        </w:tc>
      </w:tr>
      <w:tr>
        <w:tc>
          <w:tcPr>
            <w:tcW w:type="dxa" w:w="172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Initial weights</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yolo26l-seg.pt</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Run 21 best.pt</w:t>
            </w:r>
          </w:p>
        </w:tc>
      </w:tr>
      <w:tr>
        <w:tc>
          <w:tcPr>
            <w:tcW w:type="dxa" w:w="172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Classes</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apple</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3 defects</w:t>
            </w:r>
          </w:p>
        </w:tc>
      </w:tr>
      <w:tr>
        <w:tc>
          <w:tcPr>
            <w:tcW w:type="dxa" w:w="172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Optimizer / lr0</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SGD / 0.001</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AdamW / 0.0005</w:t>
            </w:r>
          </w:p>
        </w:tc>
      </w:tr>
      <w:tr>
        <w:tc>
          <w:tcPr>
            <w:tcW w:type="dxa" w:w="172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Max epochs / patience</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100 / 10</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300 / 30</w:t>
            </w:r>
          </w:p>
        </w:tc>
      </w:tr>
      <w:tr>
        <w:tc>
          <w:tcPr>
            <w:tcW w:type="dxa" w:w="172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Image size / batch</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864 / 56</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864 / 56</w:t>
            </w:r>
          </w:p>
        </w:tc>
      </w:tr>
      <w:tr>
        <w:tc>
          <w:tcPr>
            <w:tcW w:type="dxa" w:w="172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LR schedule</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cosine lrf 0.01</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cosine lrf 0.01</w:t>
            </w:r>
          </w:p>
        </w:tc>
      </w:tr>
      <w:tr>
        <w:tc>
          <w:tcPr>
            <w:tcW w:type="dxa" w:w="172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Weight decay / warmup</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0.0005 / 3</w:t>
            </w:r>
          </w:p>
        </w:tc>
        <w:tc>
          <w:tcPr>
            <w:tcW w:type="dxa" w:w="144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0.0005 / 3</w:t>
            </w:r>
          </w:p>
        </w:tc>
      </w:tr>
    </w:tbl>
    <w:p>
      <w:pPr>
        <w:spacing w:after="40"/>
        <w:jc w:val="both"/>
      </w:pPr>
      <w:r>
        <w:rPr>
          <w:rFonts w:ascii="Times New Roman" w:hAnsi="Times New Roman"/>
          <w:b w:val="0"/>
          <w:i w:val="0"/>
          <w:sz w:val="20"/>
        </w:rPr>
      </w:r>
    </w:p>
    <w:p>
      <w:pPr>
        <w:spacing w:after="80"/>
        <w:ind w:firstLine="200"/>
        <w:jc w:val="both"/>
      </w:pPr>
      <w:r>
        <w:rPr>
          <w:rFonts w:ascii="Times New Roman" w:hAnsi="Times New Roman"/>
          <w:b w:val="0"/>
          <w:i w:val="0"/>
          <w:sz w:val="20"/>
        </w:rPr>
        <w:t>Online augmentation was applied to training images only: horizontal and vertical flips (p = 0.5), rotation up to 10 degrees, translation 0.05, scale 0.1 and small hue saturation and value shifts (0.01, 0.2, 0.2). Mosaic, MixUp and Copy-Paste were off so that defect color and texture stay realistic. Training ran on one NVIDIA A100 80 GB GPU in Google Colab with Ultralytics 8.4.126, mixed precision and seed 0.</w:t>
      </w:r>
    </w:p>
    <w:p>
      <w:pPr>
        <w:pStyle w:val="Heading2"/>
      </w:pPr>
      <w:r>
        <w:t>B. Evaluation Metrics</w:t>
      </w:r>
    </w:p>
    <w:p>
      <w:pPr>
        <w:spacing w:after="80"/>
        <w:ind w:firstLine="200"/>
        <w:jc w:val="both"/>
      </w:pPr>
      <w:r>
        <w:rPr>
          <w:rFonts w:ascii="Times New Roman" w:hAnsi="Times New Roman"/>
          <w:b w:val="0"/>
          <w:i w:val="0"/>
          <w:sz w:val="20"/>
        </w:rPr>
        <w:t>All scores are mask metrics. Precision is the share of predicted masks that match a labeled mask. Recall is the share of labeled masks that are found. A match needs an intersection over union (IoU) above a threshold, where IoU is the overlap area divided by the combined area. mAP50 is the mean average precision at IoU 0.50 and mAP50-95 averages it over IoU 0.50 to 0.95. The best checkpoint was chosen on validation only. The test split was evaluated once after every choice was frozen.</w:t>
      </w:r>
    </w:p>
    <w:p>
      <w:pPr>
        <w:pStyle w:val="Heading1"/>
      </w:pPr>
      <w:r>
        <w:t>V. RESULTS AND DISCUSSION</w:t>
      </w:r>
    </w:p>
    <w:p>
      <w:pPr>
        <w:pStyle w:val="Heading2"/>
      </w:pPr>
      <w:r>
        <w:t>A. Run History</w:t>
      </w:r>
    </w:p>
    <w:p>
      <w:pPr>
        <w:spacing w:after="80"/>
        <w:ind w:firstLine="200"/>
        <w:jc w:val="both"/>
      </w:pPr>
      <w:r>
        <w:rPr>
          <w:rFonts w:ascii="Times New Roman" w:hAnsi="Times New Roman"/>
          <w:b w:val="0"/>
          <w:i w:val="0"/>
          <w:sz w:val="20"/>
        </w:rPr>
        <w:t>Twenty runs were recorded from 13 September to 1 October 2026 (Table III). Early YOLO26n pilots on five classes stayed below 0.50 mask mAP50. Merging rare classes and adding more reviewed images raised scores. Joint apple and tomato models reached about 0.75 overall mAP50 but most of that came from the easy whole-fruit classes. Runs on different datasets are historical and not controlled comparisons.</w:t>
      </w:r>
    </w:p>
    <w:p>
      <w:pPr>
        <w:spacing w:after="40"/>
        <w:jc w:val="center"/>
      </w:pPr>
      <w:r>
        <w:rPr>
          <w:rFonts w:ascii="Times New Roman" w:hAnsi="Times New Roman"/>
          <w:b w:val="0"/>
          <w:i w:val="0"/>
          <w:smallCaps/>
          <w:sz w:val="16"/>
        </w:rPr>
        <w:t>TABLE III. SELECTED RUNS (VALIDATION MASK METRICS)</w:t>
      </w:r>
    </w:p>
    <w:tbl>
      <w:tblPr>
        <w:tblW w:type="auto" w:w="0"/>
        <w:jc w:val="center"/>
        <w:tblLook w:firstColumn="1" w:firstRow="1" w:lastColumn="0" w:lastRow="0" w:noHBand="0" w:noVBand="1" w:val="04A0"/>
      </w:tblPr>
      <w:tblGrid>
        <w:gridCol w:w="2018"/>
        <w:gridCol w:w="2018"/>
        <w:gridCol w:w="2018"/>
        <w:gridCol w:w="2018"/>
        <w:gridCol w:w="2018"/>
      </w:tblGrid>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Run</w:t>
            </w:r>
          </w:p>
        </w:tc>
        <w:tc>
          <w:tcPr>
            <w:tcW w:type="dxa" w:w="129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Data</w:t>
            </w:r>
          </w:p>
        </w:tc>
        <w:tc>
          <w:tcPr>
            <w:tcW w:type="dxa" w:w="57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Model</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mAP50</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mAP50-95</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P1 pilot</w:t>
            </w:r>
          </w:p>
        </w:tc>
        <w:tc>
          <w:tcPr>
            <w:tcW w:type="dxa" w:w="129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Apple 5 cls</w:t>
            </w:r>
          </w:p>
        </w:tc>
        <w:tc>
          <w:tcPr>
            <w:tcW w:type="dxa" w:w="57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26n</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0.474</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0.310</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P6 pilot</w:t>
            </w:r>
          </w:p>
        </w:tc>
        <w:tc>
          <w:tcPr>
            <w:tcW w:type="dxa" w:w="129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Apple+tomato</w:t>
            </w:r>
          </w:p>
        </w:tc>
        <w:tc>
          <w:tcPr>
            <w:tcW w:type="dxa" w:w="57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26s</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0.687</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0.506</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Run 11</w:t>
            </w:r>
          </w:p>
        </w:tc>
        <w:tc>
          <w:tcPr>
            <w:tcW w:type="dxa" w:w="129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Apple+tomato</w:t>
            </w:r>
          </w:p>
        </w:tc>
        <w:tc>
          <w:tcPr>
            <w:tcW w:type="dxa" w:w="57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26m</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0.715</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0.598</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Run 14</w:t>
            </w:r>
          </w:p>
        </w:tc>
        <w:tc>
          <w:tcPr>
            <w:tcW w:type="dxa" w:w="129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Apple 4 cls</w:t>
            </w:r>
          </w:p>
        </w:tc>
        <w:tc>
          <w:tcPr>
            <w:tcW w:type="dxa" w:w="57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26m</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0.714</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0.558</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Run 20 S2</w:t>
            </w:r>
          </w:p>
        </w:tc>
        <w:tc>
          <w:tcPr>
            <w:tcW w:type="dxa" w:w="129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Apple defects</w:t>
            </w:r>
          </w:p>
        </w:tc>
        <w:tc>
          <w:tcPr>
            <w:tcW w:type="dxa" w:w="57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26m</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0.671</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0.450</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Run 21 S1</w:t>
            </w:r>
          </w:p>
        </w:tc>
        <w:tc>
          <w:tcPr>
            <w:tcW w:type="dxa" w:w="129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Apple fruit</w:t>
            </w:r>
          </w:p>
        </w:tc>
        <w:tc>
          <w:tcPr>
            <w:tcW w:type="dxa" w:w="57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26l</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0.985</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0.985</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Run 22 S2</w:t>
            </w:r>
          </w:p>
        </w:tc>
        <w:tc>
          <w:tcPr>
            <w:tcW w:type="dxa" w:w="129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Apple defects</w:t>
            </w:r>
          </w:p>
        </w:tc>
        <w:tc>
          <w:tcPr>
            <w:tcW w:type="dxa" w:w="576"/>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26l</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0.688</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0.457</w:t>
            </w:r>
          </w:p>
        </w:tc>
      </w:tr>
    </w:tbl>
    <w:p>
      <w:pPr>
        <w:spacing w:after="40"/>
        <w:jc w:val="both"/>
      </w:pPr>
      <w:r>
        <w:rPr>
          <w:rFonts w:ascii="Times New Roman" w:hAnsi="Times New Roman"/>
          <w:b w:val="0"/>
          <w:i w:val="0"/>
          <w:sz w:val="20"/>
        </w:rPr>
      </w:r>
    </w:p>
    <w:p>
      <w:pPr>
        <w:spacing w:after="80"/>
        <w:ind w:firstLine="200"/>
        <w:jc w:val="both"/>
      </w:pPr>
      <w:r>
        <w:rPr>
          <w:rFonts w:ascii="Times New Roman" w:hAnsi="Times New Roman"/>
          <w:b w:val="0"/>
          <w:i w:val="0"/>
          <w:sz w:val="20"/>
        </w:rPr>
        <w:t>Runs 14, 20 and 22 share the same images and splits. The single-stage Run 14 averaged 0.624 mask mAP50 over its three defect classes. The two-stage YOLO26m Run 20 reached 0.671 and the two-stage YOLO26l Run 22 reached 0.688. These runs also differ in image size, optimizer and model size so the gain cannot be credited to the two-stage design alone.</w:t>
      </w:r>
    </w:p>
    <w:p>
      <w:pPr>
        <w:pStyle w:val="Heading2"/>
      </w:pPr>
      <w:r>
        <w:t>B. Final Apple Model</w:t>
      </w:r>
    </w:p>
    <w:p>
      <w:pPr>
        <w:spacing w:after="80"/>
        <w:ind w:firstLine="200"/>
        <w:jc w:val="both"/>
      </w:pPr>
      <w:r>
        <w:rPr>
          <w:rFonts w:ascii="Times New Roman" w:hAnsi="Times New Roman"/>
          <w:b w:val="0"/>
          <w:i w:val="0"/>
          <w:sz w:val="20"/>
        </w:rPr>
        <w:t xml:space="preserve">Stage 1 segments the whole apple almost perfectly on validation with </w:t>
      </w:r>
      <w:r>
        <w:rPr>
          <w:rFonts w:ascii="Times New Roman" w:hAnsi="Times New Roman"/>
          <w:b w:val="0"/>
          <w:i w:val="0"/>
          <w:sz w:val="20"/>
        </w:rPr>
        <w:t>98.5%</w:t>
      </w:r>
      <w:r>
        <w:rPr>
          <w:rFonts w:ascii="Times New Roman" w:hAnsi="Times New Roman"/>
          <w:b w:val="0"/>
          <w:i w:val="0"/>
          <w:sz w:val="20"/>
        </w:rPr>
        <w:t xml:space="preserve"> mask mAP50 and </w:t>
      </w:r>
      <w:r>
        <w:rPr>
          <w:rFonts w:ascii="Times New Roman" w:hAnsi="Times New Roman"/>
          <w:b w:val="0"/>
          <w:i w:val="0"/>
          <w:sz w:val="20"/>
        </w:rPr>
        <w:t>98.6%</w:t>
      </w:r>
      <w:r>
        <w:rPr>
          <w:rFonts w:ascii="Times New Roman" w:hAnsi="Times New Roman"/>
          <w:b w:val="0"/>
          <w:i w:val="0"/>
          <w:sz w:val="20"/>
        </w:rPr>
        <w:t xml:space="preserve"> recall. Stage 2 reached </w:t>
      </w:r>
      <w:r>
        <w:rPr>
          <w:rFonts w:ascii="Times New Roman" w:hAnsi="Times New Roman"/>
          <w:b w:val="0"/>
          <w:i w:val="0"/>
          <w:sz w:val="20"/>
        </w:rPr>
        <w:t>80.9%</w:t>
      </w:r>
      <w:r>
        <w:rPr>
          <w:rFonts w:ascii="Times New Roman" w:hAnsi="Times New Roman"/>
          <w:b w:val="0"/>
          <w:i w:val="0"/>
          <w:sz w:val="20"/>
        </w:rPr>
        <w:t xml:space="preserve"> precision, </w:t>
      </w:r>
      <w:r>
        <w:rPr>
          <w:rFonts w:ascii="Times New Roman" w:hAnsi="Times New Roman"/>
          <w:b w:val="0"/>
          <w:i w:val="0"/>
          <w:sz w:val="20"/>
        </w:rPr>
        <w:t>68.0%</w:t>
      </w:r>
      <w:r>
        <w:rPr>
          <w:rFonts w:ascii="Times New Roman" w:hAnsi="Times New Roman"/>
          <w:b w:val="0"/>
          <w:i w:val="0"/>
          <w:sz w:val="20"/>
        </w:rPr>
        <w:t xml:space="preserve"> recall, </w:t>
      </w:r>
      <w:r>
        <w:rPr>
          <w:rFonts w:ascii="Times New Roman" w:hAnsi="Times New Roman"/>
          <w:b w:val="0"/>
          <w:i w:val="0"/>
          <w:sz w:val="20"/>
        </w:rPr>
        <w:t>68.8%</w:t>
      </w:r>
      <w:r>
        <w:rPr>
          <w:rFonts w:ascii="Times New Roman" w:hAnsi="Times New Roman"/>
          <w:b w:val="0"/>
          <w:i w:val="0"/>
          <w:sz w:val="20"/>
        </w:rPr>
        <w:t xml:space="preserve"> mAP50 and </w:t>
      </w:r>
      <w:r>
        <w:rPr>
          <w:rFonts w:ascii="Times New Roman" w:hAnsi="Times New Roman"/>
          <w:b w:val="0"/>
          <w:i w:val="0"/>
          <w:sz w:val="20"/>
        </w:rPr>
        <w:t>45.7%</w:t>
      </w:r>
      <w:r>
        <w:rPr>
          <w:rFonts w:ascii="Times New Roman" w:hAnsi="Times New Roman"/>
          <w:b w:val="0"/>
          <w:i w:val="0"/>
          <w:sz w:val="20"/>
        </w:rPr>
        <w:t xml:space="preserve"> mAP50-95 on validation at its best epoch. Table IV gives per-class results.</w:t>
      </w:r>
    </w:p>
    <w:p>
      <w:pPr>
        <w:spacing w:after="40"/>
        <w:jc w:val="center"/>
      </w:pPr>
      <w:r>
        <w:rPr>
          <w:rFonts w:ascii="Times New Roman" w:hAnsi="Times New Roman"/>
          <w:b w:val="0"/>
          <w:i w:val="0"/>
          <w:smallCaps/>
          <w:sz w:val="16"/>
        </w:rPr>
        <w:t>TABLE IV. APPLE STAGE 2 PER-CLASS MASK RESULTS</w:t>
      </w:r>
    </w:p>
    <w:tbl>
      <w:tblPr>
        <w:tblW w:type="auto" w:w="0"/>
        <w:jc w:val="center"/>
        <w:tblLook w:firstColumn="1" w:firstRow="1" w:lastColumn="0" w:lastRow="0" w:noHBand="0" w:noVBand="1" w:val="04A0"/>
      </w:tblPr>
      <w:tblGrid>
        <w:gridCol w:w="2018"/>
        <w:gridCol w:w="2018"/>
        <w:gridCol w:w="2018"/>
        <w:gridCol w:w="2018"/>
        <w:gridCol w:w="2018"/>
      </w:tblGrid>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Class</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Val P</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Val R</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Val mAP50</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sz w:val="15"/>
              </w:rPr>
              <w:t>Test mAP50</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Bruise</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0.847</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0.744</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0.777</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0.594</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Rot</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0.931</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0.713</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0.761</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0.732</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Surface</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0.648</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0.584</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0.527</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0.511</w:t>
            </w:r>
          </w:p>
        </w:tc>
      </w:tr>
      <w:tr>
        <w:tc>
          <w:tcPr>
            <w:tcW w:type="dxa" w:w="1008"/>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All</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0.809</w:t>
            </w:r>
          </w:p>
        </w:tc>
        <w:tc>
          <w:tcPr>
            <w:tcW w:type="dxa" w:w="720"/>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0.680</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0.688</w:t>
            </w:r>
          </w:p>
        </w:tc>
        <w:tc>
          <w:tcPr>
            <w:tcW w:type="dxa" w:w="864"/>
            <w:tcBorders>
              <w:top w:val="single" w:sz="4" w:color="000000"/>
              <w:left w:val="single" w:sz="4" w:color="000000"/>
              <w:bottom w:val="single" w:sz="4" w:color="000000"/>
              <w:right w:val="single" w:sz="4" w:color="000000"/>
            </w:tcBorders>
          </w:tcPr>
          <w:p>
            <w:pPr>
              <w:spacing w:after="0"/>
              <w:jc w:val="center"/>
            </w:pPr>
            <w:r/>
            <w:r>
              <w:rPr>
                <w:rFonts w:ascii="Times New Roman" w:hAnsi="Times New Roman"/>
                <w:b w:val="0"/>
                <w:sz w:val="15"/>
              </w:rPr>
              <w:t>0.613</w:t>
            </w:r>
          </w:p>
        </w:tc>
      </w:tr>
    </w:tbl>
    <w:p>
      <w:pPr>
        <w:spacing w:after="40"/>
        <w:jc w:val="both"/>
      </w:pPr>
      <w:r>
        <w:rPr>
          <w:rFonts w:ascii="Times New Roman" w:hAnsi="Times New Roman"/>
          <w:b w:val="0"/>
          <w:i w:val="0"/>
          <w:sz w:val="20"/>
        </w:rPr>
      </w:r>
    </w:p>
    <w:p>
      <w:pPr>
        <w:jc w:val="center"/>
      </w:pPr>
      <w:r>
        <w:drawing>
          <wp:inline>
            <wp:extent cx="2926080" cy="2194560"/>
            <wp:docPr id="1" name="Picture 1"/>
            <wp:cNvGraphicFramePr>
              <a:graphicFrameLocks noChangeAspect="1"/>
            </wp:cNvGraphicFramePr>
            <a:graphic>
              <a:graphicData uri="http://schemas.openxmlformats.org/drawingml/2006/picture">
                <pic:pic>
                  <pic:nvPicPr>
                    <pic:cNvPr id="0" name="confusion_matrix_normalized.png"/>
                    <pic:cNvPicPr/>
                  </pic:nvPicPr>
                  <pic:blipFill>
                    <a:blip r:embed="rId25"/>
                    <a:stretch>
                      <a:fillRect/>
                    </a:stretch>
                  </pic:blipFill>
                  <pic:spPr>
                    <a:xfrm>
                      <a:off x="0" y="0"/>
                      <a:ext cx="2926080" cy="2194560"/>
                    </a:xfrm>
                    <a:prstGeom prst="rect"/>
                  </pic:spPr>
                </pic:pic>
              </a:graphicData>
            </a:graphic>
          </wp:inline>
        </w:drawing>
      </w:r>
    </w:p>
    <w:p>
      <w:pPr>
        <w:spacing w:after="80"/>
        <w:jc w:val="center"/>
      </w:pPr>
      <w:r>
        <w:rPr>
          <w:rFonts w:ascii="Times New Roman" w:hAnsi="Times New Roman"/>
          <w:b w:val="0"/>
          <w:i w:val="0"/>
          <w:sz w:val="16"/>
        </w:rPr>
        <w:t>Fig. 1. Normalized validation confusion matrix of the apple Stage 2 model.</w:t>
      </w:r>
    </w:p>
    <w:p>
      <w:pPr>
        <w:pStyle w:val="Heading2"/>
      </w:pPr>
      <w:r>
        <w:t>C. Unseen Test</w:t>
      </w:r>
    </w:p>
    <w:p>
      <w:pPr>
        <w:spacing w:after="80"/>
        <w:ind w:firstLine="200"/>
        <w:jc w:val="both"/>
      </w:pPr>
      <w:r>
        <w:rPr>
          <w:rFonts w:ascii="Times New Roman" w:hAnsi="Times New Roman"/>
          <w:b w:val="0"/>
          <w:i w:val="0"/>
          <w:sz w:val="20"/>
        </w:rPr>
        <w:t xml:space="preserve">The frozen test split (79 images, 75 capture groups) was evaluated once with the final Stage 2 checkpoint. Test mask precision was </w:t>
      </w:r>
      <w:r>
        <w:rPr>
          <w:rFonts w:ascii="Times New Roman" w:hAnsi="Times New Roman"/>
          <w:b w:val="0"/>
          <w:i w:val="0"/>
          <w:sz w:val="20"/>
        </w:rPr>
        <w:t>71.8%</w:t>
      </w:r>
      <w:r>
        <w:rPr>
          <w:rFonts w:ascii="Times New Roman" w:hAnsi="Times New Roman"/>
          <w:b w:val="0"/>
          <w:i w:val="0"/>
          <w:sz w:val="20"/>
        </w:rPr>
        <w:t xml:space="preserve">, recall </w:t>
      </w:r>
      <w:r>
        <w:rPr>
          <w:rFonts w:ascii="Times New Roman" w:hAnsi="Times New Roman"/>
          <w:b w:val="0"/>
          <w:i w:val="0"/>
          <w:sz w:val="20"/>
        </w:rPr>
        <w:t>59.7%</w:t>
      </w:r>
      <w:r>
        <w:rPr>
          <w:rFonts w:ascii="Times New Roman" w:hAnsi="Times New Roman"/>
          <w:b w:val="0"/>
          <w:i w:val="0"/>
          <w:sz w:val="20"/>
        </w:rPr>
        <w:t xml:space="preserve">, mAP50 </w:t>
      </w:r>
      <w:r>
        <w:rPr>
          <w:rFonts w:ascii="Times New Roman" w:hAnsi="Times New Roman"/>
          <w:b w:val="0"/>
          <w:i w:val="0"/>
          <w:sz w:val="20"/>
        </w:rPr>
        <w:t>61.3%</w:t>
      </w:r>
      <w:r>
        <w:rPr>
          <w:rFonts w:ascii="Times New Roman" w:hAnsi="Times New Roman"/>
          <w:b w:val="0"/>
          <w:i w:val="0"/>
          <w:sz w:val="20"/>
        </w:rPr>
        <w:t xml:space="preserve"> and mAP50-95 </w:t>
      </w:r>
      <w:r>
        <w:rPr>
          <w:rFonts w:ascii="Times New Roman" w:hAnsi="Times New Roman"/>
          <w:b w:val="0"/>
          <w:i w:val="0"/>
          <w:sz w:val="20"/>
        </w:rPr>
        <w:t>41.1%</w:t>
      </w:r>
      <w:r>
        <w:rPr>
          <w:rFonts w:ascii="Times New Roman" w:hAnsi="Times New Roman"/>
          <w:b w:val="0"/>
          <w:i w:val="0"/>
          <w:sz w:val="20"/>
        </w:rPr>
        <w:t>. Test mAP50 is 7.5 points below validation. This is expected because the best checkpoint was chosen on validation. Almost the whole drop comes from bruise (0.777 to 0.594) while rot (0.761 to 0.732) and surface damage (0.527 to 0.511) stay close. The test split has only about 23 bruise instances so one missed bruise moves bruise recall by about four points. The test bruises may also differ in source or lighting from the training bruises. The test confusion matrix shows the same pattern as validation: most errors are missed defects while bruise and rot are rarely confused.</w:t>
      </w:r>
    </w:p>
    <w:p>
      <w:pPr>
        <w:pStyle w:val="Heading2"/>
      </w:pPr>
      <w:r>
        <w:t>D. Tomato</w:t>
      </w:r>
    </w:p>
    <w:p>
      <w:pPr>
        <w:spacing w:after="80"/>
        <w:ind w:firstLine="200"/>
        <w:jc w:val="both"/>
      </w:pPr>
      <w:r>
        <w:rPr>
          <w:rFonts w:ascii="Times New Roman" w:hAnsi="Times New Roman"/>
          <w:b w:val="0"/>
          <w:i w:val="0"/>
          <w:sz w:val="20"/>
        </w:rPr>
        <w:t xml:space="preserve">Tomato follows the same two-stage recipe. </w:t>
      </w:r>
      <w:r>
        <w:rPr>
          <w:rFonts w:ascii="Times New Roman" w:hAnsi="Times New Roman"/>
          <w:b w:val="0"/>
          <w:i w:val="0"/>
          <w:sz w:val="20"/>
          <w:highlight w:val="yellow"/>
        </w:rPr>
        <w:t>[TBD]</w:t>
      </w:r>
      <w:r>
        <w:rPr>
          <w:rFonts w:ascii="Times New Roman" w:hAnsi="Times New Roman"/>
          <w:b w:val="0"/>
          <w:i w:val="0"/>
          <w:sz w:val="20"/>
        </w:rPr>
        <w:t xml:space="preserve"> An earlier joint apple and tomato model (Run 11) reached 0.955 mask mAP50 for the whole tomato but only 0.419, 0.597 and 0.347 for tomato bruise, rot and surface damage on validation. Tomato defects were the weakest part of the project.</w:t>
      </w:r>
    </w:p>
    <w:p>
      <w:pPr>
        <w:pStyle w:val="Heading2"/>
      </w:pPr>
      <w:r>
        <w:t>E. Errors and Limits</w:t>
      </w:r>
    </w:p>
    <w:p>
      <w:pPr>
        <w:spacing w:after="80"/>
        <w:ind w:firstLine="200"/>
        <w:jc w:val="both"/>
      </w:pPr>
      <w:r>
        <w:rPr>
          <w:rFonts w:ascii="Times New Roman" w:hAnsi="Times New Roman"/>
          <w:b w:val="0"/>
          <w:i w:val="0"/>
          <w:sz w:val="20"/>
        </w:rPr>
        <w:t>Surface damage is the hardest class because it covers small scars, cuts and dry spots with weak contrast. The confusion matrices show that most errors are missed defects predicted as background. Bruise and rot are rarely confused with each other. On validation most false positives are surface damage predicted on marks the team did not label. The images come from a few sources with mostly plain backgrounds. Performance on new lighting, cultivars or conveyor images is unknown. Classes describe appearance only and the model does not diagnose disease or internal damage.</w:t>
      </w:r>
    </w:p>
    <w:p>
      <w:pPr>
        <w:pStyle w:val="Heading2"/>
      </w:pPr>
      <w:r>
        <w:t>F. Web Application</w:t>
      </w:r>
    </w:p>
    <w:p>
      <w:pPr>
        <w:spacing w:after="80"/>
        <w:ind w:firstLine="200"/>
        <w:jc w:val="both"/>
      </w:pPr>
      <w:r>
        <w:rPr>
          <w:rFonts w:ascii="Times New Roman" w:hAnsi="Times New Roman"/>
          <w:b w:val="0"/>
          <w:i w:val="0"/>
          <w:sz w:val="20"/>
        </w:rPr>
        <w:t>A Streamlit application loads the Stage 1 and Stage 2 checkpoints for the selected fruit. Users upload a photo or pick a sample. The app overlays colored defect masks with a legend and reports each defect class with its share of the image and of the Stage 1 fruit mask. A confidence slider, class toggles, inference time and a PNG download are included. Unreadable files and images with no defect produce clear messages.</w:t>
      </w:r>
    </w:p>
    <w:p>
      <w:pPr>
        <w:pStyle w:val="Heading1"/>
      </w:pPr>
      <w:r>
        <w:t>VI. CONCLUSION AND FUTURE WORK</w:t>
      </w:r>
    </w:p>
    <w:p>
      <w:pPr>
        <w:spacing w:after="80"/>
        <w:ind w:firstLine="200"/>
        <w:jc w:val="both"/>
      </w:pPr>
      <w:r>
        <w:rPr>
          <w:rFonts w:ascii="Times New Roman" w:hAnsi="Times New Roman"/>
          <w:b w:val="0"/>
          <w:i w:val="0"/>
          <w:sz w:val="20"/>
        </w:rPr>
        <w:t xml:space="preserve">A two-stage YOLO26l model trained on team-reviewed masks segments the whole apple almost perfectly and segments three visible defect classes with </w:t>
      </w:r>
      <w:r>
        <w:rPr>
          <w:rFonts w:ascii="Times New Roman" w:hAnsi="Times New Roman"/>
          <w:b w:val="0"/>
          <w:i w:val="0"/>
          <w:sz w:val="20"/>
        </w:rPr>
        <w:t>68.8%</w:t>
      </w:r>
      <w:r>
        <w:rPr>
          <w:rFonts w:ascii="Times New Roman" w:hAnsi="Times New Roman"/>
          <w:b w:val="0"/>
          <w:i w:val="0"/>
          <w:sz w:val="20"/>
        </w:rPr>
        <w:t xml:space="preserve"> validation mask mAP50 and </w:t>
      </w:r>
      <w:r>
        <w:rPr>
          <w:rFonts w:ascii="Times New Roman" w:hAnsi="Times New Roman"/>
          <w:b w:val="0"/>
          <w:i w:val="0"/>
          <w:sz w:val="20"/>
        </w:rPr>
        <w:t>61.3%</w:t>
      </w:r>
      <w:r>
        <w:rPr>
          <w:rFonts w:ascii="Times New Roman" w:hAnsi="Times New Roman"/>
          <w:b w:val="0"/>
          <w:i w:val="0"/>
          <w:sz w:val="20"/>
        </w:rPr>
        <w:t xml:space="preserve"> mask mAP50 on unseen test images. Rot was the most stable class and surface damage the hardest. Future work should add more reviewed small-defect examples, run a controlled single-stage baseline with identical settings, test on images from new sources and measure agreement between annotators.</w:t>
      </w:r>
    </w:p>
    <w:p>
      <w:pPr>
        <w:pStyle w:val="Heading1"/>
      </w:pPr>
      <w:r>
        <w:t>REFERENCES</w:t>
      </w:r>
    </w:p>
    <w:p>
      <w:pPr>
        <w:spacing w:after="20"/>
        <w:jc w:val="left"/>
      </w:pPr>
      <w:r>
        <w:rPr>
          <w:rFonts w:ascii="Times New Roman" w:hAnsi="Times New Roman"/>
          <w:b w:val="0"/>
          <w:i w:val="0"/>
          <w:sz w:val="16"/>
        </w:rPr>
        <w:t>[1] M. U. Mojumdar et al., “AFruitDB: A comprehensive dataset of six commonly used Asian fruits for advanced grading and biodiversity insights,” Data in Brief, vol. 59, Art. no. 111380, 2025, doi: 10.1016/j.dib.2025.111380.</w:t>
      </w:r>
    </w:p>
    <w:p>
      <w:pPr>
        <w:spacing w:after="20"/>
        <w:jc w:val="left"/>
      </w:pPr>
      <w:r>
        <w:rPr>
          <w:rFonts w:ascii="Times New Roman" w:hAnsi="Times New Roman"/>
          <w:b w:val="0"/>
          <w:i w:val="0"/>
          <w:sz w:val="16"/>
        </w:rPr>
        <w:t>[2] K. He, G. Gkioxari, P. Dollár, and R. Girshick, “Mask R-CNN,” in Proc. IEEE Int. Conf. Computer Vision (ICCV), 2017, pp. 2961–2969.</w:t>
      </w:r>
    </w:p>
    <w:p>
      <w:pPr>
        <w:spacing w:after="20"/>
        <w:jc w:val="left"/>
      </w:pPr>
      <w:r>
        <w:rPr>
          <w:rFonts w:ascii="Times New Roman" w:hAnsi="Times New Roman"/>
          <w:b w:val="0"/>
          <w:i w:val="0"/>
          <w:sz w:val="16"/>
        </w:rPr>
        <w:t>[3] M. Agarla, P. Napoletano, and R. Schettini, “Quasi real-time apple defect segmentation using deep learning,” Sensors, vol. 23, no. 18, Art. no. 7893, 2023, doi: 10.3390/s23187893.</w:t>
      </w:r>
    </w:p>
    <w:p>
      <w:pPr>
        <w:spacing w:after="20"/>
        <w:jc w:val="left"/>
      </w:pPr>
      <w:r>
        <w:rPr>
          <w:rFonts w:ascii="Times New Roman" w:hAnsi="Times New Roman"/>
          <w:b w:val="0"/>
          <w:i w:val="0"/>
          <w:sz w:val="16"/>
        </w:rPr>
        <w:t>[4] M. Knott, D. Odion, S. Sontakke, A. Karwa, and T. Defraeye, “Weakly supervised panoptic segmentation for defect-based grading of fresh produce,” in Proc. IEEE/CVF Conf. Computer Vision and Pattern Recognition Workshops (CVPRW), 2025.</w:t>
      </w:r>
    </w:p>
    <w:p>
      <w:pPr>
        <w:spacing w:after="20"/>
        <w:jc w:val="left"/>
      </w:pPr>
      <w:r>
        <w:rPr>
          <w:rFonts w:ascii="Times New Roman" w:hAnsi="Times New Roman"/>
          <w:b w:val="0"/>
          <w:i w:val="0"/>
          <w:sz w:val="16"/>
        </w:rPr>
        <w:t>[5] F. Leiva, S. G. Rebeaud, and D. Christen, “Real-time identification and quantification of apple scab on fruit in preharvest and postharvest conditions using YOLO11: a deep learning approach,” Plant Methods, vol. 22, Art. no. 29, 2026, doi: 10.1186/s13007-026-01508-7.</w:t>
      </w:r>
    </w:p>
    <w:p>
      <w:pPr>
        <w:spacing w:after="20"/>
        <w:jc w:val="left"/>
      </w:pPr>
      <w:r>
        <w:rPr>
          <w:rFonts w:ascii="Times New Roman" w:hAnsi="Times New Roman"/>
          <w:b w:val="0"/>
          <w:i w:val="0"/>
          <w:sz w:val="16"/>
        </w:rPr>
        <w:t>[6] C. Tan, C. Li, P. Perkins-Veazie, H. Oh, R. Xu, and M. Iorizzo, “High throughput assessment of blueberry fruit internal bruising using deep learning models,” Front. Plant Sci., vol. 16, Art. no. 1575038, 2025, doi: 10.3389/fpls.2025.1575038.</w:t>
      </w:r>
    </w:p>
    <w:p>
      <w:pPr>
        <w:spacing w:after="20"/>
        <w:jc w:val="left"/>
      </w:pPr>
      <w:r>
        <w:rPr>
          <w:rFonts w:ascii="Times New Roman" w:hAnsi="Times New Roman"/>
          <w:b w:val="0"/>
          <w:i w:val="0"/>
          <w:sz w:val="16"/>
        </w:rPr>
        <w:t>[7] A. Kirillov et al., “Segment anything,” in Proc. IEEE/CVF Int. Conf. Computer Vision (ICCV), 2023, pp. 4015–4026.</w:t>
      </w:r>
    </w:p>
    <w:p>
      <w:pPr>
        <w:spacing w:after="20"/>
        <w:jc w:val="left"/>
      </w:pPr>
      <w:r>
        <w:rPr>
          <w:rFonts w:ascii="Times New Roman" w:hAnsi="Times New Roman"/>
          <w:b w:val="0"/>
          <w:i w:val="0"/>
          <w:sz w:val="16"/>
        </w:rPr>
        <w:t>[8] S. Nesteruk et al., “XtremeAugment: Getting more from your data through combination of image collection and image augmentation,” IEEE Access, vol. 10, pp. 24010–24028, 2022, doi: 10.1109/ACCESS.2022.3154709.</w:t>
      </w:r>
    </w:p>
    <w:p>
      <w:pPr>
        <w:spacing w:after="20"/>
        <w:jc w:val="left"/>
      </w:pPr>
      <w:r>
        <w:rPr>
          <w:rFonts w:ascii="Times New Roman" w:hAnsi="Times New Roman"/>
          <w:b w:val="0"/>
          <w:i w:val="0"/>
          <w:sz w:val="16"/>
        </w:rPr>
        <w:t>[9] S. Nesteruk, “Apple rotting segmentation problem in the wild,” Kaggle dataset, CC BY-NC-SA 4.0. [Online]. Available: https://www.kaggle.com/datasets/sergeynesteruk/apple-rotting-segmentation-problem-in-the-wild</w:t>
      </w:r>
    </w:p>
    <w:p>
      <w:pPr>
        <w:spacing w:after="20"/>
        <w:jc w:val="left"/>
      </w:pPr>
      <w:r>
        <w:rPr>
          <w:rFonts w:ascii="Times New Roman" w:hAnsi="Times New Roman"/>
          <w:b w:val="0"/>
          <w:i w:val="0"/>
          <w:sz w:val="16"/>
        </w:rPr>
        <w:t>[10] Roboflow, “Roboflow Annotate.” [Online]. Available: https://roboflow.com</w:t>
      </w:r>
    </w:p>
    <w:p>
      <w:pPr>
        <w:spacing w:after="20"/>
        <w:jc w:val="left"/>
      </w:pPr>
      <w:r>
        <w:rPr>
          <w:rFonts w:ascii="Times New Roman" w:hAnsi="Times New Roman"/>
          <w:b w:val="0"/>
          <w:i w:val="0"/>
          <w:sz w:val="16"/>
        </w:rPr>
        <w:t>[11] Ultralytics, “YOLO26,” Ultralytics documentation, 2026. [Online]. Available: https://docs.ultralytics.com/models/yolo26/</w:t>
      </w:r>
    </w:p>
    <w:p w:rsidR="00000000" w:rsidDel="00000000" w:rsidP="00000000" w:rsidRDefault="00000000" w:rsidRPr="00000000" w14:paraId="00000048">
      <w:pPr>
        <w:rPr/>
        <w:sectPr>
          <w:type w:val="continuous"/>
          <w:pgSz w:h="16838" w:w="11906" w:orient="portrait"/>
          <w:pgMar w:bottom="1440" w:top="1080" w:left="907" w:right="907" w:header="720" w:footer="720"/>
          <w:cols w:equalWidth="0" w:num="2">
            <w:col w:space="360" w:w="4865.74"/>
            <w:col w:space="0" w:w="4865.74"/>
          </w:cols>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080" w:left="907" w:right="907" w:header="720" w:footer="720"/>
          <w:pgNumType w:start="1"/>
        </w:sectPr>
      </w:pPr>
      <w:bookmarkStart w:colFirst="0" w:colLast="0" w:name="_apvdxw3r5bp5" w:id="13"/>
      <w:bookmarkEnd w:id="13"/>
    </w:p>
    <w:sectPr>
      <w:type w:val="nextPage"/>
      <w:pgSz w:h="16838" w:w="11906" w:orient="portrait"/>
      <w:pgMar w:bottom="1440" w:top="1080"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access.thecvf.com/content/CVPR2025W/V4A/html/Knott_Weakly_Supervised_Panoptic_Segmentation_for_Defect-Based_Grading_of_Fresh_Produce_CVPRW_2025_paper.html" TargetMode="External"/><Relationship Id="rId11" Type="http://schemas.openxmlformats.org/officeDocument/2006/relationships/hyperlink" Target="https://doi.org/10.3390/s23187893" TargetMode="External"/><Relationship Id="rId22" Type="http://schemas.openxmlformats.org/officeDocument/2006/relationships/hyperlink" Target="https://openaccess.thecvf.com/content/ICCV2023/papers/Kirillov_Segment_Anything_ICCV_2023_paper.pdf" TargetMode="External"/><Relationship Id="rId10" Type="http://schemas.openxmlformats.org/officeDocument/2006/relationships/hyperlink" Target="https://doi.org/10.1016/j.dib.2025.111380" TargetMode="External"/><Relationship Id="rId21" Type="http://schemas.openxmlformats.org/officeDocument/2006/relationships/hyperlink" Target="https://doi.org/10.3389/fpls.2025.1575038" TargetMode="External"/><Relationship Id="rId13" Type="http://schemas.openxmlformats.org/officeDocument/2006/relationships/hyperlink" Target="https://openaccess.thecvf.com/content/CVPR2025W/V4A/html/Knott_Weakly_Supervised_Panoptic_Segmentation_for_Defect-Based_Grading_of_Fresh_Produce_CVPRW_2025_paper.html" TargetMode="External"/><Relationship Id="rId24" Type="http://schemas.openxmlformats.org/officeDocument/2006/relationships/image" Target="media/image1.png"/><Relationship Id="rId12" Type="http://schemas.openxmlformats.org/officeDocument/2006/relationships/hyperlink" Target="https://doi.org/10.3389/fpls.2025.1575038" TargetMode="External"/><Relationship Id="rId23" Type="http://schemas.openxmlformats.org/officeDocument/2006/relationships/hyperlink" Target="https://doi.org/10.1109/ACCESS.2022.31547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access.thecvf.com/content/CVPR2025W/V4A/html/Knott_Weakly_Supervised_Panoptic_Segmentation_for_Defect-Based_Grading_of_Fresh_Produce_CVPRW_2025_paper.html" TargetMode="External"/><Relationship Id="rId15" Type="http://schemas.openxmlformats.org/officeDocument/2006/relationships/hyperlink" Target="https://openaccess.thecvf.com/content/ICCV2023/papers/Kirillov_Segment_Anything_ICCV_2023_paper.pdf" TargetMode="External"/><Relationship Id="rId14" Type="http://schemas.openxmlformats.org/officeDocument/2006/relationships/hyperlink" Target="https://openaccess.thecvf.com/content_iccv_2017/html/He_Mask_R-CNN_ICCV_2017_paper.html" TargetMode="External"/><Relationship Id="rId17" Type="http://schemas.openxmlformats.org/officeDocument/2006/relationships/hyperlink" Target="https://doi.org/10.1016/j.dib.2025.111380" TargetMode="External"/><Relationship Id="rId16" Type="http://schemas.openxmlformats.org/officeDocument/2006/relationships/hyperlink" Target="https://doi.org/10.1109/ACCESS.2022.3154709" TargetMode="External"/><Relationship Id="rId5" Type="http://schemas.openxmlformats.org/officeDocument/2006/relationships/styles" Target="styles.xml"/><Relationship Id="rId19" Type="http://schemas.openxmlformats.org/officeDocument/2006/relationships/hyperlink" Target="https://doi.org/10.3390/s23187893" TargetMode="External"/><Relationship Id="rId6" Type="http://schemas.openxmlformats.org/officeDocument/2006/relationships/hyperlink" Target="https://doi.org/10.1016/j.dib.2025.111380" TargetMode="External"/><Relationship Id="rId18" Type="http://schemas.openxmlformats.org/officeDocument/2006/relationships/hyperlink" Target="https://openaccess.thecvf.com/content_iccv_2017/html/He_Mask_R-CNN_ICCV_2017_paper.html" TargetMode="External"/><Relationship Id="rId7" Type="http://schemas.openxmlformats.org/officeDocument/2006/relationships/hyperlink" Target="https://openaccess.thecvf.com/content_iccv_2017/html/He_Mask_R-CNN_ICCV_2017_paper.html" TargetMode="External"/><Relationship Id="rId8" Type="http://schemas.openxmlformats.org/officeDocument/2006/relationships/hyperlink" Target="https://doi.org/10.3390/s23187893" TargetMode="External"/><Relationship Id="rId2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