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 from approaching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Demonstrates deep, insightful understanding of all concepts and terminology; consistently applies knowledge with outstanding accuracy and depth.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Clearly understands core concepts and processes; accurately applies knowledge with only minor or infrequent errors.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a basic understanding of key concepts and processes; applies knowledge with some inaccuracies or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minimal understanding of concepts; application of knowledge is frequently inaccurate or absent.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 &amp;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Executes all required technical skills with exceptional precision and independence; consistently adapts skills to complex tasks and unique challenges.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Executes most technical skills effectively and accurately; applies skills consistently to complete tasks and solve routine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Executes some required skills; applies skills to complete simple tasks but often needs guidance for complex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Executes few required skills; application of skills is inconsistent and requires significant support to complete basic tasks.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&amp; Professionalism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Communicates clearly, engagingly, and effectively across all required formats; consistently displays outstanding professionalism, organization, and responsibility.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Communicates effectively and clearly in most situations; generally displays strong professionalism and responsibility.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Communicates ideas with some clarity; professionalism and responsibility are inconsistent and variable.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Communication is frequently unclear or incomplete; displays limited professionalism or responsibility.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 &amp; 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Consistently demonstrates significant innovation, independent problem-solving, and takes initiative to extend learning far beyond expectations.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Demonstrates strong creativity and initiative; solves problems with minor support and extends learning on occasion.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Demonstrates some creativity and initiative but relies on support to solve problems and meet expected outcomes.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Demonstrates little creativity or initiative; rarely attempts problem-solving independently and requires direction.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u w:val="single"/>
        <w:rtl w:val="0"/>
      </w:rPr>
      <w:t xml:space="preserve">CTS Assessment Rubric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