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Rebuilding Self-Government</w:t>
      </w:r>
    </w:p>
    <w:p>
      <w:r>
        <w:t>Theme 1 - Aboriginal Rights &amp; Self-Government</w:t>
      </w:r>
    </w:p>
    <w:p>
      <w:r>
        <w:t>Choose one of the 4 advantages of the self-government promises on page 98 and discuss reasons why you think this might be a good thing for a First Nation.</w:t>
      </w:r>
    </w:p>
    <w:p>
      <w:r>
        <w:t>Respond in paragraph form using the response criteria.</w:t>
      </w:r>
    </w:p>
    <w:p>
      <w:pPr>
        <w:pStyle w:val="Heading2"/>
      </w:pPr>
      <w:r>
        <w:t>Resources</w:t>
      </w:r>
    </w:p>
    <w:p>
      <w:r>
        <w:t>Critical Response Rubric: https://docs.google.com/document/d/1kd3XGjh72_cedciCp1M_wps0NyYxo8ZqAw72_n2MUEM/edit?usp=drivesdk</w:t>
      </w:r>
    </w:p>
    <w:p>
      <w:r>
        <w:t>Critical Response Criteria Aboriginal Studies: https://docs.google.com/document/d/12LtUq2b_pdDksNJUs71Z8rYiJjlS3SHar9RJmK48Ecs/edit?usp=drivesdk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