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76" w:lineRule="auto"/>
        <w:rPr>
          <w:rFonts w:ascii="Times New Roman" w:cs="Times New Roman" w:eastAsia="Times New Roman" w:hAnsi="Times New Roman"/>
        </w:rPr>
      </w:pPr>
      <w:r w:rsidDel="00000000" w:rsidR="00000000" w:rsidRPr="00000000">
        <w:rPr>
          <w:rtl w:val="0"/>
        </w:rPr>
      </w:r>
    </w:p>
    <w:tbl>
      <w:tblPr>
        <w:tblStyle w:val="Table1"/>
        <w:tblW w:w="6600.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0"/>
        <w:tblGridChange w:id="0">
          <w:tblGrid>
            <w:gridCol w:w="6600"/>
          </w:tblGrid>
        </w:tblGridChange>
      </w:tblGrid>
      <w:tr>
        <w:trPr>
          <w:cantSplit w:val="0"/>
          <w:trHeight w:val="5880" w:hRule="atLeast"/>
          <w:tblHeader w:val="0"/>
        </w:trPr>
        <w:tc>
          <w:tcPr>
            <w:tcBorders>
              <w:top w:color="9bbb59" w:space="0" w:sz="36" w:val="single"/>
              <w:bottom w:color="9bbb59" w:space="0" w:sz="36" w:val="single"/>
            </w:tcBorders>
            <w:shd w:fill="ffffff" w:val="clear"/>
            <w:tcMar>
              <w:top w:w="100.0" w:type="dxa"/>
              <w:left w:w="120.0" w:type="dxa"/>
              <w:bottom w:w="100.0" w:type="dxa"/>
              <w:right w:w="120.0" w:type="dxa"/>
            </w:tcM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56"/>
                <w:szCs w:val="56"/>
                <w:rtl w:val="0"/>
              </w:rPr>
              <w:t xml:space="preserve">Social Studies 20-1</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48"/>
                <w:szCs w:val="48"/>
                <w:rtl w:val="0"/>
              </w:rPr>
              <w:t xml:space="preserve">· </w:t>
              <w:tab/>
            </w:r>
            <w:r w:rsidDel="00000000" w:rsidR="00000000" w:rsidRPr="00000000">
              <w:rPr>
                <w:rFonts w:ascii="Times New Roman" w:cs="Times New Roman" w:eastAsia="Times New Roman" w:hAnsi="Times New Roman"/>
                <w:sz w:val="48"/>
                <w:szCs w:val="48"/>
                <w:rtl w:val="0"/>
              </w:rPr>
              <w:t xml:space="preserve">Reconciling Nationalist Loyalties</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48"/>
                <w:szCs w:val="48"/>
                <w:rtl w:val="0"/>
              </w:rPr>
              <w:t xml:space="preserve">· </w:t>
              <w:tab/>
            </w:r>
            <w:r w:rsidDel="00000000" w:rsidR="00000000" w:rsidRPr="00000000">
              <w:rPr>
                <w:rFonts w:ascii="Times New Roman" w:cs="Times New Roman" w:eastAsia="Times New Roman" w:hAnsi="Times New Roman"/>
                <w:sz w:val="48"/>
                <w:szCs w:val="48"/>
                <w:rtl w:val="0"/>
              </w:rPr>
              <w:t xml:space="preserve">Reconciling Nationalist and Non-Nationalist Loyalties</w:t>
            </w:r>
            <w:r w:rsidDel="00000000" w:rsidR="00000000" w:rsidRPr="00000000">
              <w:rPr>
                <w:rtl w:val="0"/>
              </w:rPr>
            </w:r>
          </w:p>
        </w:tc>
      </w:tr>
      <w:tr>
        <w:trPr>
          <w:cantSplit w:val="0"/>
          <w:tblHeader w:val="0"/>
        </w:trPr>
        <w:tc>
          <w:tcPr>
            <w:tcBorders>
              <w:bottom w:color="9bbb59" w:space="0" w:sz="36" w:val="single"/>
            </w:tcBorders>
            <w:shd w:fill="ffffff" w:val="clear"/>
            <w:tcMar>
              <w:top w:w="100.0" w:type="dxa"/>
              <w:left w:w="120.0" w:type="dxa"/>
              <w:bottom w:w="100.0" w:type="dxa"/>
              <w:right w:w="120.0" w:type="dxa"/>
            </w:tcMar>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8"/>
                <w:szCs w:val="48"/>
                <w:rtl w:val="0"/>
              </w:rPr>
              <w:t xml:space="preserve">     Assignment Booklet </w:t>
            </w:r>
            <w:r w:rsidDel="00000000" w:rsidR="00000000" w:rsidRPr="00000000">
              <w:rPr>
                <w:rFonts w:ascii="Times New Roman" w:cs="Times New Roman" w:eastAsia="Times New Roman" w:hAnsi="Times New Roman"/>
                <w:b w:val="1"/>
                <w:bCs w:val="1"/>
                <w:sz w:val="48"/>
                <w:szCs w:val="48"/>
                <w:rtl w:val="0"/>
              </w:rPr>
              <w:t xml:space="preserve">1B</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9bbb59" w:space="0" w:sz="36" w:val="single"/>
            </w:tcBorders>
            <w:shd w:fill="ffffff" w:val="clear"/>
            <w:tcMar>
              <w:top w:w="100.0" w:type="dxa"/>
              <w:left w:w="120.0" w:type="dxa"/>
              <w:bottom w:w="100.0" w:type="dxa"/>
              <w:right w:w="120.0" w:type="dxa"/>
            </w:tcMar>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9775" cy="723900"/>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09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SENIOR HIGH SCHOOL</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Sherwood Park 780 464 1899</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4965700</wp:posOffset>
                </wp:positionH>
                <wp:positionV relativeFrom="paragraph">
                  <wp:posOffset>6591300</wp:posOffset>
                </wp:positionV>
                <wp:extent cx="1803400" cy="762000"/>
                <wp:effectExtent b="0" l="0" r="0" t="0"/>
                <wp:wrapNone/>
                <wp:docPr id="2" name=""/>
                <a:graphic>
                  <a:graphicData uri="http://schemas.microsoft.com/office/word/2010/wordprocessingShape">
                    <wps:wsp>
                      <wps:cNvSpPr/>
                      <wps:cNvPr id="3" name="Shape 3"/>
                      <wps:spPr>
                        <a:xfrm>
                          <a:off x="4453508" y="3409796"/>
                          <a:ext cx="1784984" cy="740409"/>
                        </a:xfrm>
                        <a:custGeom>
                          <a:rect b="b" l="l" r="r" t="t"/>
                          <a:pathLst>
                            <a:path extrusionOk="0" h="120000" w="120000">
                              <a:moveTo>
                                <a:pt x="0" y="0"/>
                              </a:moveTo>
                              <a:lnTo>
                                <a:pt x="0" y="120000"/>
                              </a:lnTo>
                              <a:lnTo>
                                <a:pt x="120000" y="120000"/>
                              </a:lnTo>
                              <a:lnTo>
                                <a:pt x="120000" y="0"/>
                              </a:lnTo>
                              <a:close/>
                            </a:path>
                          </a:pathLst>
                        </a:custGeom>
                        <a:solidFill>
                          <a:srgbClr val="F2F2F2"/>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Office Use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Entered into PS ____</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Date: ____________</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6591300</wp:posOffset>
                </wp:positionV>
                <wp:extent cx="1803400" cy="7620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03400" cy="762000"/>
                        </a:xfrm>
                        <a:prstGeom prst="rect"/>
                        <a:ln/>
                      </pic:spPr>
                    </pic:pic>
                  </a:graphicData>
                </a:graphic>
              </wp:anchor>
            </w:drawing>
          </mc:Fallback>
        </mc:AlternateConten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tbl>
      <w:tblPr>
        <w:tblStyle w:val="Table2"/>
        <w:tblW w:w="9095.0" w:type="dxa"/>
        <w:jc w:val="left"/>
        <w:tblInd w:w="-100.0" w:type="dxa"/>
        <w:tblLayout w:type="fixed"/>
        <w:tblLook w:val="0600"/>
      </w:tblPr>
      <w:tblGrid>
        <w:gridCol w:w="9095"/>
        <w:tblGridChange w:id="0">
          <w:tblGrid>
            <w:gridCol w:w="909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2">
            <w:pPr>
              <w:pageBreakBefore w:val="0"/>
              <w:widowControl w:val="0"/>
              <w:spacing w:after="0" w:line="276"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Assignment Booklet Questions Rubric   </w:t>
              <w:tab/>
              <w:t xml:space="preserve">10-1/20-1/30-1</w:t>
            </w:r>
          </w:p>
        </w:tc>
      </w:tr>
    </w:tbl>
    <w:p w:rsidR="00000000" w:rsidDel="00000000" w:rsidP="00000000" w:rsidRDefault="00000000" w:rsidRPr="00000000" w14:paraId="00000013">
      <w:pPr>
        <w:pageBreakBefore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1056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10"/>
        <w:gridCol w:w="1530"/>
        <w:gridCol w:w="1785"/>
        <w:gridCol w:w="1890"/>
        <w:gridCol w:w="1635"/>
        <w:tblGridChange w:id="0">
          <w:tblGrid>
            <w:gridCol w:w="2010"/>
            <w:gridCol w:w="1710"/>
            <w:gridCol w:w="1530"/>
            <w:gridCol w:w="1785"/>
            <w:gridCol w:w="1890"/>
            <w:gridCol w:w="163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 (5)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Proficient (4)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Limited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spacing w:after="0" w:line="327.27272727272725"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 (1)</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spacing w:after="0" w:line="276"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w:t>
            </w:r>
          </w:p>
          <w:p w:rsidR="00000000" w:rsidDel="00000000" w:rsidP="00000000" w:rsidRDefault="00000000" w:rsidRPr="00000000" w14:paraId="0000001B">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effectiveness of student’s:</w:t>
            </w:r>
          </w:p>
          <w:p w:rsidR="00000000" w:rsidDel="00000000" w:rsidP="00000000" w:rsidRDefault="00000000" w:rsidRPr="00000000" w14:paraId="0000001C">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organization</w:t>
            </w:r>
          </w:p>
          <w:p w:rsidR="00000000" w:rsidDel="00000000" w:rsidP="00000000" w:rsidRDefault="00000000" w:rsidRPr="00000000" w14:paraId="0000001D">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Syntax, mechanics, and grammar</w:t>
            </w:r>
          </w:p>
          <w:p w:rsidR="00000000" w:rsidDel="00000000" w:rsidP="00000000" w:rsidRDefault="00000000" w:rsidRPr="00000000" w14:paraId="0000001E">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of vocabulary and Social Studies terminology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fluent and skillfully structured. Controlling idea effectively sustained and integrated. Skillfully control. Absence of error impressive. Precise, deliberate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clear and purposefully structured. Controlling idea coherently sustained and integrated. Capable control. Minor errors do not impede communication. Appropriate, specific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straightforward and functionally ordered. Controlling idea generally maintained. Basic control. Occasional lapses and minor errors, however generally clear. Conventional, adequate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awkward and lacks clarity. Controlling idea inconsistently maintained. Faltering control. Errors obscure the clarity of communication. Imprecise, simplistic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ageBreakBefore w:val="0"/>
              <w:spacing w:after="0" w:line="327.27272727272725"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unclear and disorganized. Controlling idea is absent. Lack of control. Jarring errors impede communication. Overgeneralized, inaccurate vocabulary.</w:t>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spacing w:after="0" w:line="276" w:lineRule="auto"/>
              <w:ind w:left="14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&amp; Analysis of  Responses:</w:t>
            </w:r>
          </w:p>
          <w:p w:rsidR="00000000" w:rsidDel="00000000" w:rsidP="00000000" w:rsidRDefault="00000000" w:rsidRPr="00000000" w14:paraId="00000025">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how effectively the students:</w:t>
            </w:r>
          </w:p>
          <w:p w:rsidR="00000000" w:rsidDel="00000000" w:rsidP="00000000" w:rsidRDefault="00000000" w:rsidRPr="00000000" w14:paraId="00000026">
            <w:pPr>
              <w:pageBreakBefore w:val="0"/>
              <w:spacing w:after="0" w:line="276" w:lineRule="auto"/>
              <w:ind w:right="1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Critically analyze and demonstrate an understanding of the question</w:t>
            </w:r>
          </w:p>
          <w:p w:rsidR="00000000" w:rsidDel="00000000" w:rsidP="00000000" w:rsidRDefault="00000000" w:rsidRPr="00000000" w14:paraId="00000027">
            <w:pPr>
              <w:pageBreakBefore w:val="0"/>
              <w:spacing w:after="0" w:line="276" w:lineRule="auto"/>
              <w:ind w:left="560" w:right="1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and sophisticated analysis and understanding of question. Perceptive, and comprehensively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Sound and adept analysis and understanding of question. Purposeful and capably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Straightforward and conventional analysis and understanding of question. Generalized and adequately developed response.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spacing w:after="0" w:line="276"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understanding of question incomplete, lacks depth. Response is superficial and lacks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ageBreakBefore w:val="0"/>
              <w:spacing w:after="0" w:line="327.27272727272725" w:lineRule="auto"/>
              <w:ind w:left="140" w:right="1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analysis and understanding of the question. Disjointed and vague response.</w:t>
            </w:r>
          </w:p>
        </w:tc>
      </w:tr>
    </w:tbl>
    <w:p w:rsidR="00000000" w:rsidDel="00000000" w:rsidP="00000000" w:rsidRDefault="00000000" w:rsidRPr="00000000" w14:paraId="0000002D">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**IMPORTANT: Students are expected to complete ALL OF THE QUESTIONS in the assignment booklets.  Booklets with less than 85% complete will be returned to the student for completion.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Chapter 3: Reconciling Nationalist Loyalties</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1.  (Page 68)  </w:t>
      </w:r>
      <w:r w:rsidDel="00000000" w:rsidR="00000000" w:rsidRPr="00000000">
        <w:rPr>
          <w:rFonts w:ascii="Times New Roman" w:cs="Times New Roman" w:eastAsia="Times New Roman" w:hAnsi="Times New Roman"/>
          <w:sz w:val="24"/>
          <w:szCs w:val="24"/>
          <w:u w:val="single"/>
          <w:rtl w:val="0"/>
        </w:rPr>
        <w:t xml:space="preserve">How Do Nationalist Loyalties Shape People’s Choices?</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(Page 68)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famous speech, Winston Churchill vows to defend England during World War II.  In three to five sentences, explain whether or not  you think his speech reflects loyalty.</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(Page 68)  </w:t>
      </w:r>
      <w:r w:rsidDel="00000000" w:rsidR="00000000" w:rsidRPr="00000000">
        <w:rPr>
          <w:rFonts w:ascii="Times New Roman" w:cs="Times New Roman" w:eastAsia="Times New Roman" w:hAnsi="Times New Roman"/>
          <w:sz w:val="24"/>
          <w:szCs w:val="24"/>
          <w:u w:val="single"/>
          <w:rtl w:val="0"/>
        </w:rPr>
        <w:t xml:space="preserve">Loyalties and Choices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 section.  The textbook gives several examples of difficult choices in loyalty.  </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Use the following case study to answer the questions that follow.</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05500" cy="1651000"/>
                <wp:effectExtent b="0" l="0" r="0" t="0"/>
                <wp:wrapNone/>
                <wp:docPr id="1" name=""/>
                <a:graphic>
                  <a:graphicData uri="http://schemas.microsoft.com/office/word/2010/wordprocessingShape">
                    <wps:wsp>
                      <wps:cNvSpPr/>
                      <wps:cNvPr id="2" name="Shape 2"/>
                      <wps:spPr>
                        <a:xfrm>
                          <a:off x="2402776" y="2965613"/>
                          <a:ext cx="5886449" cy="16287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Janna is 16 years old.  She was born in Canada, and has lived here all her life.  Her mother is from Greece, and her father is from Yugoslavia.  Janna’s parents are tired of Canada’s cold winters.  They talked about just going for a holiday, but then they decided to move back to the Mediterranean where it is warm, and close to family.  Janna, however, only speaks English, and doesn’t want to move.  She has had plans for a couple of years to finish high school with her friends, and go to Red Deer College to become a pharmacy technician.  Then Janna’s best friend’s family offers that Janna can stay with them here in Canada.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05500" cy="16510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05500" cy="1651000"/>
                        </a:xfrm>
                        <a:prstGeom prst="rect"/>
                        <a:ln/>
                      </pic:spPr>
                    </pic:pic>
                  </a:graphicData>
                </a:graphic>
              </wp:anchor>
            </w:drawing>
          </mc:Fallback>
        </mc:AlternateConten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central loyalty conflict that Janna has?</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If you were in Janna’s situation, what are the factors that you would consider in making your choice?</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would you decide to do, if this was your choice?  Explain your reasons.</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(Page 69)  </w:t>
      </w:r>
      <w:r w:rsidDel="00000000" w:rsidR="00000000" w:rsidRPr="00000000">
        <w:rPr>
          <w:rFonts w:ascii="Times New Roman" w:cs="Times New Roman" w:eastAsia="Times New Roman" w:hAnsi="Times New Roman"/>
          <w:sz w:val="24"/>
          <w:szCs w:val="24"/>
          <w:u w:val="single"/>
          <w:rtl w:val="0"/>
        </w:rPr>
        <w:t xml:space="preserve">Patriotism and Loyalty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would you rate your own level of patriotism? Place an X on the spectrum below to show where you rate how patriotic you are.</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_______________________________________________________________</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12700</wp:posOffset>
                </wp:positionV>
                <wp:extent cx="165100" cy="165100"/>
                <wp:effectExtent b="0" l="0" r="0" t="0"/>
                <wp:wrapNone/>
                <wp:docPr id="4" name=""/>
                <a:graphic>
                  <a:graphicData uri="http://schemas.microsoft.com/office/word/2010/wordprocessingShape">
                    <wps:wsp>
                      <wps:cNvSpPr/>
                      <wps:cNvPr id="5" name="Shape 5"/>
                      <wps:spPr>
                        <a:xfrm>
                          <a:off x="5300598" y="3734598"/>
                          <a:ext cx="90805" cy="90805"/>
                        </a:xfrm>
                        <a:prstGeom prst="ellipse">
                          <a:avLst/>
                        </a:prstGeom>
                        <a:solidFill>
                          <a:srgbClr val="000000"/>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12700</wp:posOffset>
                </wp:positionV>
                <wp:extent cx="165100" cy="16510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51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5689600</wp:posOffset>
                </wp:positionH>
                <wp:positionV relativeFrom="paragraph">
                  <wp:posOffset>12700</wp:posOffset>
                </wp:positionV>
                <wp:extent cx="165100" cy="165100"/>
                <wp:effectExtent b="0" l="0" r="0" t="0"/>
                <wp:wrapNone/>
                <wp:docPr id="3" name=""/>
                <a:graphic>
                  <a:graphicData uri="http://schemas.microsoft.com/office/word/2010/wordprocessingShape">
                    <wps:wsp>
                      <wps:cNvSpPr/>
                      <wps:cNvPr id="4" name="Shape 4"/>
                      <wps:spPr>
                        <a:xfrm>
                          <a:off x="5300598" y="3734598"/>
                          <a:ext cx="90805" cy="90805"/>
                        </a:xfrm>
                        <a:prstGeom prst="ellipse">
                          <a:avLst/>
                        </a:prstGeom>
                        <a:solidFill>
                          <a:srgbClr val="000000"/>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5689600</wp:posOffset>
                </wp:positionH>
                <wp:positionV relativeFrom="paragraph">
                  <wp:posOffset>12700</wp:posOffset>
                </wp:positionV>
                <wp:extent cx="165100" cy="16510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5100" cy="165100"/>
                        </a:xfrm>
                        <a:prstGeom prst="rect"/>
                        <a:ln/>
                      </pic:spPr>
                    </pic:pic>
                  </a:graphicData>
                </a:graphic>
              </wp:anchor>
            </w:drawing>
          </mc:Fallback>
        </mc:AlternateConten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 patriotic                                                                                                                        Very </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all                                                                                                                                  patriotic</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it possible to carry patriotism too far?  Explain why or why not.</w:t>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69)  </w:t>
      </w:r>
      <w:r w:rsidDel="00000000" w:rsidR="00000000" w:rsidRPr="00000000">
        <w:rPr>
          <w:rFonts w:ascii="Times New Roman" w:cs="Times New Roman" w:eastAsia="Times New Roman" w:hAnsi="Times New Roman"/>
          <w:sz w:val="24"/>
          <w:szCs w:val="24"/>
          <w:u w:val="single"/>
          <w:rtl w:val="0"/>
        </w:rPr>
        <w:t xml:space="preserve">Nationalist Loyalties and Choices</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difference between a nationalist loyalty, and a </w:t>
      </w:r>
      <w:r w:rsidDel="00000000" w:rsidR="00000000" w:rsidRPr="00000000">
        <w:rPr>
          <w:rFonts w:ascii="Times New Roman" w:cs="Times New Roman" w:eastAsia="Times New Roman" w:hAnsi="Times New Roman"/>
          <w:b w:val="1"/>
          <w:bCs w:val="1"/>
          <w:sz w:val="24"/>
          <w:szCs w:val="24"/>
          <w:rtl w:val="0"/>
        </w:rPr>
        <w:t xml:space="preserve">non-nationalist loyalty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examples to support your explanation. </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69)  </w:t>
      </w:r>
      <w:r w:rsidDel="00000000" w:rsidR="00000000" w:rsidRPr="00000000">
        <w:rPr>
          <w:rFonts w:ascii="Times New Roman" w:cs="Times New Roman" w:eastAsia="Times New Roman" w:hAnsi="Times New Roman"/>
          <w:sz w:val="24"/>
          <w:szCs w:val="24"/>
          <w:u w:val="single"/>
          <w:rtl w:val="0"/>
        </w:rPr>
        <w:t xml:space="preserve">How Contending Loyalties Can Affect Choices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Give an example of a time why you, or someone you know, experienced contending loyalties.</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(Pages 70)  </w:t>
      </w:r>
      <w:r w:rsidDel="00000000" w:rsidR="00000000" w:rsidRPr="00000000">
        <w:rPr>
          <w:rFonts w:ascii="Times New Roman" w:cs="Times New Roman" w:eastAsia="Times New Roman" w:hAnsi="Times New Roman"/>
          <w:sz w:val="24"/>
          <w:szCs w:val="24"/>
          <w:u w:val="single"/>
          <w:rtl w:val="0"/>
        </w:rPr>
        <w:t xml:space="preserve">Affirming First Nations Loyalties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Explain why you think the National Indian Brotherhood decided to reorganize, and rename their association to the Assembly of First Nations.  </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71)  </w:t>
      </w:r>
      <w:r w:rsidDel="00000000" w:rsidR="00000000" w:rsidRPr="00000000">
        <w:rPr>
          <w:rFonts w:ascii="Times New Roman" w:cs="Times New Roman" w:eastAsia="Times New Roman" w:hAnsi="Times New Roman"/>
          <w:sz w:val="24"/>
          <w:szCs w:val="24"/>
          <w:u w:val="single"/>
          <w:rtl w:val="0"/>
        </w:rPr>
        <w:t xml:space="preserve"> Names and Inuit 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tabs>
          <w:tab w:val="left" w:leader="none" w:pos="2370"/>
        </w:tabs>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assigning numbers to people simply a tool that promotes efficiency—or is there something sinister about it? In a paragraph, explain your thoughts on this issue.</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71)  </w:t>
      </w:r>
      <w:r w:rsidDel="00000000" w:rsidR="00000000" w:rsidRPr="00000000">
        <w:rPr>
          <w:rFonts w:ascii="Times New Roman" w:cs="Times New Roman" w:eastAsia="Times New Roman" w:hAnsi="Times New Roman"/>
          <w:sz w:val="24"/>
          <w:szCs w:val="24"/>
          <w:u w:val="single"/>
          <w:rtl w:val="0"/>
        </w:rPr>
        <w:t xml:space="preserve">Kiviaq:  Championing a People’s Rights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this section.  Explain how having his name changed back to Kiviaq relates to his quest to fight for Inuit rights.</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  (Page 72)  </w:t>
      </w:r>
      <w:r w:rsidDel="00000000" w:rsidR="00000000" w:rsidRPr="00000000">
        <w:rPr>
          <w:rFonts w:ascii="Times New Roman" w:cs="Times New Roman" w:eastAsia="Times New Roman" w:hAnsi="Times New Roman"/>
          <w:sz w:val="24"/>
          <w:szCs w:val="24"/>
          <w:u w:val="single"/>
          <w:rtl w:val="0"/>
        </w:rPr>
        <w:t xml:space="preserve">Nationalist Loyalties in a Multicultural Society</w:t>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Review:  What is a </w:t>
      </w:r>
      <w:r w:rsidDel="00000000" w:rsidR="00000000" w:rsidRPr="00000000">
        <w:rPr>
          <w:rFonts w:ascii="Times New Roman" w:cs="Times New Roman" w:eastAsia="Times New Roman" w:hAnsi="Times New Roman"/>
          <w:b w:val="1"/>
          <w:bCs w:val="1"/>
          <w:sz w:val="24"/>
          <w:szCs w:val="24"/>
          <w:rtl w:val="0"/>
        </w:rPr>
        <w:t xml:space="preserve">civic 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Many newcomers are attracted by Canada’s reputation for </w:t>
      </w: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Define </w:t>
      </w:r>
      <w:r w:rsidDel="00000000" w:rsidR="00000000" w:rsidRPr="00000000">
        <w:rPr>
          <w:rFonts w:ascii="Times New Roman" w:cs="Times New Roman" w:eastAsia="Times New Roman" w:hAnsi="Times New Roman"/>
          <w:b w:val="1"/>
          <w:bCs w:val="1"/>
          <w:sz w:val="24"/>
          <w:szCs w:val="24"/>
          <w:rtl w:val="0"/>
        </w:rPr>
        <w:t xml:space="preserve">cultural pluralism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Ask somebody, or use a dictionary to define </w:t>
      </w:r>
      <w:r w:rsidDel="00000000" w:rsidR="00000000" w:rsidRPr="00000000">
        <w:rPr>
          <w:rFonts w:ascii="Times New Roman" w:cs="Times New Roman" w:eastAsia="Times New Roman" w:hAnsi="Times New Roman"/>
          <w:i w:val="1"/>
          <w:iCs w:val="1"/>
          <w:sz w:val="24"/>
          <w:szCs w:val="24"/>
          <w:rtl w:val="0"/>
        </w:rPr>
        <w:t xml:space="preserve">collective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Define </w:t>
      </w:r>
      <w:r w:rsidDel="00000000" w:rsidR="00000000" w:rsidRPr="00000000">
        <w:rPr>
          <w:rFonts w:ascii="Times New Roman" w:cs="Times New Roman" w:eastAsia="Times New Roman" w:hAnsi="Times New Roman"/>
          <w:b w:val="1"/>
          <w:bCs w:val="1"/>
          <w:sz w:val="24"/>
          <w:szCs w:val="24"/>
          <w:rtl w:val="0"/>
        </w:rPr>
        <w:t xml:space="preserve">multiculturalism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72 continued)  Summarize and explain George Jonas’ opinion on Canada’s multiculturalism. </w:t>
      </w: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Summarize and explain John Ibbitson’s opinion about Canada’s multiculturalism. </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  With whom do you agree more—Jonas or Ibbitson?  Make an X on the spectrum below, then explain your opinion. </w:t>
      </w: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________________________________________________________________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12700</wp:posOffset>
                </wp:positionV>
                <wp:extent cx="165100" cy="165100"/>
                <wp:effectExtent b="0" l="0" r="0" t="0"/>
                <wp:wrapNone/>
                <wp:docPr id="6" name=""/>
                <a:graphic>
                  <a:graphicData uri="http://schemas.microsoft.com/office/word/2010/wordprocessingShape">
                    <wps:wsp>
                      <wps:cNvSpPr/>
                      <wps:cNvPr id="7" name="Shape 7"/>
                      <wps:spPr>
                        <a:xfrm>
                          <a:off x="5300598" y="3734598"/>
                          <a:ext cx="90805" cy="90805"/>
                        </a:xfrm>
                        <a:prstGeom prst="ellipse">
                          <a:avLst/>
                        </a:prstGeom>
                        <a:solidFill>
                          <a:srgbClr val="000000"/>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12700</wp:posOffset>
                </wp:positionV>
                <wp:extent cx="165100" cy="165100"/>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651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12700</wp:posOffset>
                </wp:positionV>
                <wp:extent cx="165100" cy="165100"/>
                <wp:effectExtent b="0" l="0" r="0" t="0"/>
                <wp:wrapNone/>
                <wp:docPr id="5" name=""/>
                <a:graphic>
                  <a:graphicData uri="http://schemas.microsoft.com/office/word/2010/wordprocessingShape">
                    <wps:wsp>
                      <wps:cNvSpPr/>
                      <wps:cNvPr id="6" name="Shape 6"/>
                      <wps:spPr>
                        <a:xfrm>
                          <a:off x="5300598" y="3734598"/>
                          <a:ext cx="90805" cy="90805"/>
                        </a:xfrm>
                        <a:prstGeom prst="ellipse">
                          <a:avLst/>
                        </a:prstGeom>
                        <a:solidFill>
                          <a:srgbClr val="000000"/>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12700</wp:posOffset>
                </wp:positionV>
                <wp:extent cx="165100" cy="165100"/>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5100" cy="165100"/>
                        </a:xfrm>
                        <a:prstGeom prst="rect"/>
                        <a:ln/>
                      </pic:spPr>
                    </pic:pic>
                  </a:graphicData>
                </a:graphic>
              </wp:anchor>
            </w:drawing>
          </mc:Fallback>
        </mc:AlternateConten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George Jonas                                                                                                            John Ibbitson</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  (Page 73)  </w:t>
      </w:r>
      <w:r w:rsidDel="00000000" w:rsidR="00000000" w:rsidRPr="00000000">
        <w:rPr>
          <w:rFonts w:ascii="Times New Roman" w:cs="Times New Roman" w:eastAsia="Times New Roman" w:hAnsi="Times New Roman"/>
          <w:sz w:val="24"/>
          <w:szCs w:val="24"/>
          <w:u w:val="single"/>
          <w:rtl w:val="0"/>
        </w:rPr>
        <w:t xml:space="preserve">Putting Multiculturalism to the Test</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this section.  In a paragraph, explain how Canada is affected by the ongoing debates of </w:t>
      </w:r>
      <w:r w:rsidDel="00000000" w:rsidR="00000000" w:rsidRPr="00000000">
        <w:rPr>
          <w:rFonts w:ascii="Times New Roman" w:cs="Times New Roman" w:eastAsia="Times New Roman" w:hAnsi="Times New Roman"/>
          <w:b w:val="1"/>
          <w:bCs w:val="1"/>
          <w:sz w:val="24"/>
          <w:szCs w:val="24"/>
          <w:rtl w:val="0"/>
        </w:rPr>
        <w:t xml:space="preserve">reasonable 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(Page 73)  </w:t>
      </w:r>
      <w:r w:rsidDel="00000000" w:rsidR="00000000" w:rsidRPr="00000000">
        <w:rPr>
          <w:rFonts w:ascii="Times New Roman" w:cs="Times New Roman" w:eastAsia="Times New Roman" w:hAnsi="Times New Roman"/>
          <w:sz w:val="24"/>
          <w:szCs w:val="24"/>
          <w:u w:val="single"/>
          <w:rtl w:val="0"/>
        </w:rPr>
        <w:t xml:space="preserve">Figure 3-6</w:t>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what you think Dhillon meant by his comments about citizenship.  </w:t>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73)  </w:t>
      </w:r>
      <w:r w:rsidDel="00000000" w:rsidR="00000000" w:rsidRPr="00000000">
        <w:rPr>
          <w:rFonts w:ascii="Times New Roman" w:cs="Times New Roman" w:eastAsia="Times New Roman" w:hAnsi="Times New Roman"/>
          <w:sz w:val="24"/>
          <w:szCs w:val="24"/>
          <w:u w:val="single"/>
          <w:rtl w:val="0"/>
        </w:rPr>
        <w:t xml:space="preserve">FYI</w:t>
      </w:r>
      <w:r w:rsidDel="00000000" w:rsidR="00000000" w:rsidRPr="00000000">
        <w:rPr>
          <w:rFonts w:ascii="Times New Roman" w:cs="Times New Roman" w:eastAsia="Times New Roman" w:hAnsi="Times New Roman"/>
          <w:sz w:val="24"/>
          <w:szCs w:val="24"/>
          <w:rtl w:val="0"/>
        </w:rPr>
        <w:t xml:space="preserve">  (For Your Information;  in the sidebar of the page)</w:t>
      </w: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you were transported back in time to the year 1974, and you were a woman becoming an RCMP constable, explain what you would think and feel about your required dress code.  </w:t>
      </w: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  (Page 74)  </w:t>
      </w:r>
      <w:r w:rsidDel="00000000" w:rsidR="00000000" w:rsidRPr="00000000">
        <w:rPr>
          <w:rFonts w:ascii="Times New Roman" w:cs="Times New Roman" w:eastAsia="Times New Roman" w:hAnsi="Times New Roman"/>
          <w:sz w:val="24"/>
          <w:szCs w:val="24"/>
          <w:u w:val="single"/>
          <w:rtl w:val="0"/>
        </w:rPr>
        <w:t xml:space="preserve">Reasonable Accommodation and Nationalist Loyalties</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Stephen Harper’s opinion about Canada’s diversity?</w:t>
      </w: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 website of the Department of Canadian Heritage says that: </w:t>
      </w: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74 continued)  The website also goes on to say:   “[Diversity] challenges </w:t>
      </w: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[Canadians] to </w:t>
      </w: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 you agree with the website’s statement above?   </w:t>
      </w: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In several sentences, respond to Reginald Bibby’s statement:   </w:t>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“If what [Canadians] have in common is our diversity, </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do we really have anything in common at all?”</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  (Page 75)  </w:t>
      </w:r>
      <w:r w:rsidDel="00000000" w:rsidR="00000000" w:rsidRPr="00000000">
        <w:rPr>
          <w:rFonts w:ascii="Times New Roman" w:cs="Times New Roman" w:eastAsia="Times New Roman" w:hAnsi="Times New Roman"/>
          <w:sz w:val="24"/>
          <w:szCs w:val="24"/>
          <w:u w:val="single"/>
          <w:rtl w:val="0"/>
        </w:rPr>
        <w:t xml:space="preserve">How can nationalist loyalties create conflict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 two loyalties can coexist without causing you </w:t>
      </w: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But nationalist loyalties are not always </w:t>
      </w: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(not in textbook)  Sometimes in having more than one nationalist loyalty, there loyalties are compatible.  Other times, they are not.  </w:t>
      </w: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Use the dialogue below to answer the questions that follow.</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626100" cy="3454400"/>
                <wp:effectExtent b="0" l="0" r="0" t="0"/>
                <wp:wrapNone/>
                <wp:docPr id="8" name=""/>
                <a:graphic>
                  <a:graphicData uri="http://schemas.microsoft.com/office/word/2010/wordprocessingShape">
                    <wps:wsp>
                      <wps:cNvSpPr/>
                      <wps:cNvPr id="14" name="Shape 14"/>
                      <wps:spPr>
                        <a:xfrm>
                          <a:off x="2540888" y="2065500"/>
                          <a:ext cx="5610224" cy="34290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Dane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Alberta is rich, and doing well.  Why are we sending so much money to Ottawa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to pay for transfer payments to the rest of Canada?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Chand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Well, some other provinces didn’t do so well this year.  Alberta can help out to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keep Canada strong.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Dane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That is so WRONG!! Alberta should be saving that money.  Some day our oil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will run out.  Then what are we going to do?  Beg other provinces for help?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Chand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We can still save money, but we still have plenty to share.  If it ever happens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that Alberta needs help, then we can get transfer payments sent here.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Dane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That’s not good.  Alberta should separate—become a country all on its own—it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doesn’t need Canada.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Chand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Dane, haven’t you ever hear the saying “united we stand, divided we fall”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0</wp:posOffset>
                </wp:positionV>
                <wp:extent cx="5626100" cy="3454400"/>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626100" cy="3454400"/>
                        </a:xfrm>
                        <a:prstGeom prst="rect"/>
                        <a:ln/>
                      </pic:spPr>
                    </pic:pic>
                  </a:graphicData>
                </a:graphic>
              </wp:anchor>
            </w:drawing>
          </mc:Fallback>
        </mc:AlternateConten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Describe Dane’s nationalist loyalties.  </w:t>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Describe Chand’s nationalist loyalties. </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(Page 76)  </w:t>
      </w:r>
      <w:r w:rsidDel="00000000" w:rsidR="00000000" w:rsidRPr="00000000">
        <w:rPr>
          <w:rFonts w:ascii="Times New Roman" w:cs="Times New Roman" w:eastAsia="Times New Roman" w:hAnsi="Times New Roman"/>
          <w:sz w:val="24"/>
          <w:szCs w:val="24"/>
          <w:u w:val="single"/>
          <w:rtl w:val="0"/>
        </w:rPr>
        <w:t xml:space="preserve">Contending Loyalties and Conflict</w:t>
      </w: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are there contending nationalist loyalties in Israel?  </w:t>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  (Page 76)  </w:t>
      </w:r>
      <w:r w:rsidDel="00000000" w:rsidR="00000000" w:rsidRPr="00000000">
        <w:rPr>
          <w:rFonts w:ascii="Times New Roman" w:cs="Times New Roman" w:eastAsia="Times New Roman" w:hAnsi="Times New Roman"/>
          <w:sz w:val="24"/>
          <w:szCs w:val="24"/>
          <w:u w:val="single"/>
          <w:rtl w:val="0"/>
        </w:rPr>
        <w:t xml:space="preserve">Do contending nationalist loyalties create conflict for you?</w:t>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Choose one of the three students and summarize their issue and personal experience with the impact of contending loyalties in their life.  </w:t>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  (Page 77)  </w:t>
      </w:r>
      <w:r w:rsidDel="00000000" w:rsidR="00000000" w:rsidRPr="00000000">
        <w:rPr>
          <w:rFonts w:ascii="Times New Roman" w:cs="Times New Roman" w:eastAsia="Times New Roman" w:hAnsi="Times New Roman"/>
          <w:sz w:val="24"/>
          <w:szCs w:val="24"/>
          <w:u w:val="single"/>
          <w:rtl w:val="0"/>
        </w:rPr>
        <w:t xml:space="preserve">Contending Loyalties in Quebec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Figure 3-9</w:t>
      </w: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what a </w:t>
      </w:r>
      <w:r w:rsidDel="00000000" w:rsidR="00000000" w:rsidRPr="00000000">
        <w:rPr>
          <w:rFonts w:ascii="Times New Roman" w:cs="Times New Roman" w:eastAsia="Times New Roman" w:hAnsi="Times New Roman"/>
          <w:i w:val="1"/>
          <w:iCs w:val="1"/>
          <w:sz w:val="24"/>
          <w:szCs w:val="24"/>
          <w:rtl w:val="0"/>
        </w:rPr>
        <w:t xml:space="preserve">referendum</w:t>
      </w:r>
      <w:r w:rsidDel="00000000" w:rsidR="00000000" w:rsidRPr="00000000">
        <w:rPr>
          <w:rFonts w:ascii="Times New Roman" w:cs="Times New Roman" w:eastAsia="Times New Roman" w:hAnsi="Times New Roman"/>
          <w:sz w:val="24"/>
          <w:szCs w:val="24"/>
          <w:rtl w:val="0"/>
        </w:rPr>
        <w:t xml:space="preserve"> is and why Québec needed a referendum.  </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  (Page 78)  </w:t>
      </w:r>
      <w:r w:rsidDel="00000000" w:rsidR="00000000" w:rsidRPr="00000000">
        <w:rPr>
          <w:rFonts w:ascii="Times New Roman" w:cs="Times New Roman" w:eastAsia="Times New Roman" w:hAnsi="Times New Roman"/>
          <w:sz w:val="24"/>
          <w:szCs w:val="24"/>
          <w:u w:val="single"/>
          <w:rtl w:val="0"/>
        </w:rPr>
        <w:t xml:space="preserve">The Sovereignty Debate</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are </w:t>
      </w:r>
      <w:r w:rsidDel="00000000" w:rsidR="00000000" w:rsidRPr="00000000">
        <w:rPr>
          <w:rFonts w:ascii="Times New Roman" w:cs="Times New Roman" w:eastAsia="Times New Roman" w:hAnsi="Times New Roman"/>
          <w:b w:val="1"/>
          <w:bCs w:val="1"/>
          <w:sz w:val="24"/>
          <w:szCs w:val="24"/>
          <w:rtl w:val="0"/>
        </w:rPr>
        <w:t xml:space="preserve">sovereignists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w:t>
      </w:r>
      <w:r w:rsidDel="00000000" w:rsidR="00000000" w:rsidRPr="00000000">
        <w:rPr>
          <w:rFonts w:ascii="Times New Roman" w:cs="Times New Roman" w:eastAsia="Times New Roman" w:hAnsi="Times New Roman"/>
          <w:b w:val="1"/>
          <w:bCs w:val="1"/>
          <w:sz w:val="24"/>
          <w:szCs w:val="24"/>
          <w:rtl w:val="0"/>
        </w:rPr>
        <w:t xml:space="preserve">federalists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95250</wp:posOffset>
                </wp:positionV>
                <wp:extent cx="5829300" cy="2755900"/>
                <wp:effectExtent b="0" l="0" r="0" t="0"/>
                <wp:wrapNone/>
                <wp:docPr id="7" name=""/>
                <a:graphic>
                  <a:graphicData uri="http://schemas.microsoft.com/office/word/2010/wordprocessingGroup">
                    <wpg:wgp>
                      <wpg:cNvGrpSpPr/>
                      <wpg:grpSpPr>
                        <a:xfrm>
                          <a:off x="2424975" y="2402025"/>
                          <a:ext cx="5829300" cy="2755900"/>
                          <a:chOff x="2424975" y="2402025"/>
                          <a:chExt cx="5842025" cy="2849100"/>
                        </a:xfrm>
                      </wpg:grpSpPr>
                      <wpg:grpSp>
                        <wpg:cNvGrpSpPr/>
                        <wpg:grpSpPr>
                          <a:xfrm>
                            <a:off x="2431350" y="2402050"/>
                            <a:ext cx="5829300" cy="2755899"/>
                            <a:chOff x="2431350" y="2399509"/>
                            <a:chExt cx="5829300" cy="2760979"/>
                          </a:xfrm>
                        </wpg:grpSpPr>
                        <wps:wsp>
                          <wps:cNvSpPr/>
                          <wps:cNvPr id="9" name="Shape 9"/>
                          <wps:spPr>
                            <a:xfrm>
                              <a:off x="2431350" y="2399509"/>
                              <a:ext cx="5829300" cy="276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31350" y="2399509"/>
                              <a:ext cx="5829300" cy="2760979"/>
                              <a:chOff x="0" y="0"/>
                              <a:chExt cx="5829300" cy="2760979"/>
                            </a:xfrm>
                          </wpg:grpSpPr>
                          <wps:wsp>
                            <wps:cNvSpPr/>
                            <wps:cNvPr id="11" name="Shape 11"/>
                            <wps:spPr>
                              <a:xfrm>
                                <a:off x="0" y="0"/>
                                <a:ext cx="5829300" cy="276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330200"/>
                                <a:ext cx="3286124" cy="950594"/>
                              </a:xfrm>
                              <a:custGeom>
                                <a:rect b="b" l="l" r="r" t="t"/>
                                <a:pathLst>
                                  <a:path extrusionOk="0" h="120000" w="120000">
                                    <a:moveTo>
                                      <a:pt x="0" y="0"/>
                                    </a:moveTo>
                                    <a:lnTo>
                                      <a:pt x="0" y="69999"/>
                                    </a:lnTo>
                                    <a:lnTo>
                                      <a:pt x="0" y="69999"/>
                                    </a:lnTo>
                                    <a:lnTo>
                                      <a:pt x="0" y="99999"/>
                                    </a:lnTo>
                                    <a:lnTo>
                                      <a:pt x="0" y="119999"/>
                                    </a:lnTo>
                                    <a:lnTo>
                                      <a:pt x="19999" y="119999"/>
                                    </a:lnTo>
                                    <a:lnTo>
                                      <a:pt x="7499" y="144000"/>
                                    </a:lnTo>
                                    <a:lnTo>
                                      <a:pt x="49999" y="119999"/>
                                    </a:lnTo>
                                    <a:lnTo>
                                      <a:pt x="120000" y="119999"/>
                                    </a:lnTo>
                                    <a:lnTo>
                                      <a:pt x="120000" y="99999"/>
                                    </a:lnTo>
                                    <a:lnTo>
                                      <a:pt x="120000" y="69999"/>
                                    </a:lnTo>
                                    <a:lnTo>
                                      <a:pt x="120000" y="69999"/>
                                    </a:lnTo>
                                    <a:lnTo>
                                      <a:pt x="120000" y="0"/>
                                    </a:lnTo>
                                    <a:lnTo>
                                      <a:pt x="49999" y="0"/>
                                    </a:lnTo>
                                    <a:lnTo>
                                      <a:pt x="19999" y="0"/>
                                    </a:lnTo>
                                    <a:lnTo>
                                      <a:pt x="19999"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Canada is divisible because it is not a real country.  There are two peoples, two nations, and two territories.  And this one is ours.”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38100" lIns="88900" spcFirstLastPara="1" rIns="88900" wrap="square" tIns="38100">
                              <a:noAutofit/>
                            </wps:bodyPr>
                          </wps:wsp>
                          <wps:wsp>
                            <wps:cNvSpPr/>
                            <wps:cNvPr id="13" name="Shape 13"/>
                            <wps:spPr>
                              <a:xfrm>
                                <a:off x="2524125" y="2208530"/>
                                <a:ext cx="3305174" cy="552449"/>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Image of Lucien Bouchard Accessioned September 7, 2009</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from: http://digitalfreedom.ca/portfolio_files/portrait/Lucien-Bouchard.jpg</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95250</wp:posOffset>
                </wp:positionV>
                <wp:extent cx="5829300" cy="2755900"/>
                <wp:effectExtent b="0" l="0" r="0" t="0"/>
                <wp:wrapNone/>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29300" cy="2755900"/>
                        </a:xfrm>
                        <a:prstGeom prst="rect"/>
                        <a:ln/>
                      </pic:spPr>
                    </pic:pic>
                  </a:graphicData>
                </a:graphic>
              </wp:anchor>
            </w:drawing>
          </mc:Fallback>
        </mc:AlternateConten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Lucien Bouchard stated:</w:t>
      </w: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3733800</wp:posOffset>
            </wp:positionH>
            <wp:positionV relativeFrom="paragraph">
              <wp:posOffset>0</wp:posOffset>
            </wp:positionV>
            <wp:extent cx="2209800" cy="2121535"/>
            <wp:effectExtent b="0" l="0" r="0" t="0"/>
            <wp:wrapSquare wrapText="bothSides" distB="0" distT="0" distL="114300" distR="114300"/>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09800" cy="2121535"/>
                    </a:xfrm>
                    <a:prstGeom prst="rect"/>
                    <a:ln/>
                  </pic:spPr>
                </pic:pic>
              </a:graphicData>
            </a:graphic>
          </wp:anchor>
        </w:drawing>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statement, Bouchard slices Canada into two pieces and makes </w:t>
      </w: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“us” versus “them” type of declaration. </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your personal reaction to his statement?   </w:t>
        <w:tab/>
        <w:t xml:space="preserve">       </w:t>
      </w: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78 continued)  How might Aboriginal peoples of Québec view Bouchard’s statement? </w:t>
      </w: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If you were a new immigrant to Canada and living in Québec, what kinds of thoughts might you be wondering about after hearing Bouchard’s speech? </w: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  (Pages 78-79)  </w:t>
      </w:r>
      <w:r w:rsidDel="00000000" w:rsidR="00000000" w:rsidRPr="00000000">
        <w:rPr>
          <w:rFonts w:ascii="Times New Roman" w:cs="Times New Roman" w:eastAsia="Times New Roman" w:hAnsi="Times New Roman"/>
          <w:sz w:val="24"/>
          <w:szCs w:val="24"/>
          <w:u w:val="single"/>
          <w:rtl w:val="0"/>
        </w:rPr>
        <w:t xml:space="preserve">Québec—Focus of Francophone Nationalism in Canada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If you had been an Anglophone (spoke only English) in Québec when</w:t>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Bill 101 was passed, why might you have been alarmed, and what might you have done?  </w:t>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  (Page 82)  </w:t>
      </w:r>
      <w:r w:rsidDel="00000000" w:rsidR="00000000" w:rsidRPr="00000000">
        <w:rPr>
          <w:rFonts w:ascii="Times New Roman" w:cs="Times New Roman" w:eastAsia="Times New Roman" w:hAnsi="Times New Roman"/>
          <w:sz w:val="24"/>
          <w:szCs w:val="24"/>
          <w:u w:val="single"/>
          <w:rtl w:val="0"/>
        </w:rPr>
        <w:t xml:space="preserve">Voices</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w:t>
      </w:r>
      <w:r w:rsidDel="00000000" w:rsidR="00000000" w:rsidRPr="00000000">
        <w:rPr>
          <w:rFonts w:ascii="Times New Roman" w:cs="Times New Roman" w:eastAsia="Times New Roman" w:hAnsi="Times New Roman"/>
          <w:b w:val="1"/>
          <w:bCs w:val="1"/>
          <w:sz w:val="24"/>
          <w:szCs w:val="24"/>
          <w:rtl w:val="0"/>
        </w:rPr>
        <w:t xml:space="preserve">self-determination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According to Matthew Coon Come, is a person automatically entitled to have self-determination?  </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  (Page 82)  </w:t>
      </w:r>
      <w:r w:rsidDel="00000000" w:rsidR="00000000" w:rsidRPr="00000000">
        <w:rPr>
          <w:rFonts w:ascii="Times New Roman" w:cs="Times New Roman" w:eastAsia="Times New Roman" w:hAnsi="Times New Roman"/>
          <w:sz w:val="24"/>
          <w:szCs w:val="24"/>
          <w:u w:val="single"/>
          <w:rtl w:val="0"/>
        </w:rPr>
        <w:t xml:space="preserve">How have people reconciled contending nationalist loyalties?</w:t>
      </w: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Reconciling can mean: </w:t>
      </w: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Define </w:t>
      </w:r>
      <w:r w:rsidDel="00000000" w:rsidR="00000000" w:rsidRPr="00000000">
        <w:rPr>
          <w:rFonts w:ascii="Times New Roman" w:cs="Times New Roman" w:eastAsia="Times New Roman" w:hAnsi="Times New Roman"/>
          <w:b w:val="1"/>
          <w:bCs w:val="1"/>
          <w:sz w:val="24"/>
          <w:szCs w:val="24"/>
          <w:rtl w:val="0"/>
        </w:rPr>
        <w:t xml:space="preserve">reconciliation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6"/>
        <w:tblW w:w="937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  (Page 82)  </w:t>
      </w:r>
      <w:r w:rsidDel="00000000" w:rsidR="00000000" w:rsidRPr="00000000">
        <w:rPr>
          <w:rFonts w:ascii="Times New Roman" w:cs="Times New Roman" w:eastAsia="Times New Roman" w:hAnsi="Times New Roman"/>
          <w:sz w:val="24"/>
          <w:szCs w:val="24"/>
          <w:u w:val="single"/>
          <w:rtl w:val="0"/>
        </w:rPr>
        <w:t xml:space="preserve">The Oka Crisis  </w:t>
      </w:r>
      <w:r w:rsidDel="00000000" w:rsidR="00000000" w:rsidRPr="00000000">
        <w:rPr>
          <w:rFonts w:ascii="Times New Roman" w:cs="Times New Roman" w:eastAsia="Times New Roman" w:hAnsi="Times New Roman"/>
          <w:b w:val="1"/>
          <w:bCs w:val="1"/>
          <w:color w:val="0000ff"/>
          <w:sz w:val="32"/>
          <w:szCs w:val="32"/>
          <w:rtl w:val="0"/>
        </w:rPr>
        <w:t xml:space="preserve">Watch </w:t>
      </w:r>
      <w:hyperlink r:id="rId9">
        <w:r w:rsidDel="00000000" w:rsidR="00000000" w:rsidRPr="00000000">
          <w:rPr>
            <w:rFonts w:ascii="Times New Roman" w:cs="Times New Roman" w:eastAsia="Times New Roman" w:hAnsi="Times New Roman"/>
            <w:color w:val="0000ee"/>
            <w:sz w:val="24"/>
            <w:szCs w:val="24"/>
            <w:u w:val="single"/>
            <w:rtl w:val="0"/>
          </w:rPr>
          <w:t xml:space="preserve">The Oka Crisis in 5 minutes</w:t>
        </w:r>
      </w:hyperlink>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 section.  Explain what the central issue is that led to the Mohawks’ protest. </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7"/>
        <w:tblW w:w="92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5"/>
        <w:tblGridChange w:id="0">
          <w:tblGrid>
            <w:gridCol w:w="92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In point form, outline the events that took place, and what the </w:t>
      </w: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end results were.  </w:t>
      </w: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17.  (Page 83)  </w:t>
      </w:r>
      <w:r w:rsidDel="00000000" w:rsidR="00000000" w:rsidRPr="00000000">
        <w:rPr>
          <w:rFonts w:ascii="Times New Roman" w:cs="Times New Roman" w:eastAsia="Times New Roman" w:hAnsi="Times New Roman"/>
          <w:sz w:val="24"/>
          <w:szCs w:val="24"/>
          <w:u w:val="single"/>
          <w:rtl w:val="0"/>
        </w:rPr>
        <w:t xml:space="preserve">The Royal Commission on Aboriginal Peoples</w:t>
      </w: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how the central question , “What are the foundations of a fair and honourable relationship between the Aboriginal and no-Aboriginal people of Canada?” was answered in the 1996 report?  </w:t>
      </w: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3514725</wp:posOffset>
            </wp:positionH>
            <wp:positionV relativeFrom="paragraph">
              <wp:posOffset>38100</wp:posOffset>
            </wp:positionV>
            <wp:extent cx="701329" cy="642620"/>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18.  (Page 84)  </w:t>
      </w:r>
      <w:r w:rsidDel="00000000" w:rsidR="00000000" w:rsidRPr="00000000">
        <w:rPr>
          <w:rFonts w:ascii="Times New Roman" w:cs="Times New Roman" w:eastAsia="Times New Roman" w:hAnsi="Times New Roman"/>
          <w:sz w:val="24"/>
          <w:szCs w:val="24"/>
          <w:u w:val="single"/>
          <w:rtl w:val="0"/>
        </w:rPr>
        <w:t xml:space="preserve">Statement of Reconciliation</w:t>
      </w: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63500</wp:posOffset>
                </wp:positionV>
                <wp:extent cx="5803900" cy="1549400"/>
                <wp:effectExtent b="0" l="0" r="0" t="0"/>
                <wp:wrapSquare wrapText="bothSides" distB="0" distT="0" distL="114300" distR="114300"/>
                <wp:docPr id="10" name=""/>
                <a:graphic>
                  <a:graphicData uri="http://schemas.microsoft.com/office/word/2010/wordprocessingShape">
                    <wps:wsp>
                      <wps:cNvSpPr/>
                      <wps:cNvPr id="16" name="Shape 16"/>
                      <wps:spPr>
                        <a:xfrm>
                          <a:off x="2455163" y="3014825"/>
                          <a:ext cx="5781674" cy="153035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 is January 7, 1998, and you are a First Nations person living on the Enoch reserve west of Edmonton.  You have gathered with family and friends at the community hall to listen to the Statement of Reconciliation.  Your grandmother couldn’t make it to the meeting because she is in the hospital in Edmonton.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You decide to write her a letter to tell her about how you feel 	about this Statement of Reconciliation, and how other family members reacted.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63500</wp:posOffset>
                </wp:positionV>
                <wp:extent cx="5803900" cy="1549400"/>
                <wp:effectExtent b="0" l="0" r="0" t="0"/>
                <wp:wrapSquare wrapText="bothSides" distB="0" distT="0" distL="114300" distR="114300"/>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803900" cy="1549400"/>
                        </a:xfrm>
                        <a:prstGeom prst="rect"/>
                        <a:ln/>
                      </pic:spPr>
                    </pic:pic>
                  </a:graphicData>
                </a:graphic>
              </wp:anchor>
            </w:drawing>
          </mc:Fallback>
        </mc:AlternateConten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your letter in the space below.  You may wish to do some online research to get a fuller understanding of the issues.  Use the words “statement of reconciliation 1998” for your search engine, such as Google, or Yahoo.  The full statement is attached at the back of this module assignment booklet.  </w:t>
      </w: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19.  (Pages 84-85)  </w:t>
      </w:r>
      <w:r w:rsidDel="00000000" w:rsidR="00000000" w:rsidRPr="00000000">
        <w:rPr>
          <w:rFonts w:ascii="Times New Roman" w:cs="Times New Roman" w:eastAsia="Times New Roman" w:hAnsi="Times New Roman"/>
          <w:sz w:val="24"/>
          <w:szCs w:val="24"/>
          <w:u w:val="single"/>
          <w:rtl w:val="0"/>
        </w:rPr>
        <w:t xml:space="preserve">Land Claims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u w:val="single"/>
          <w:rtl w:val="0"/>
        </w:rPr>
        <w:t xml:space="preserve">Figure 3-16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The View from Here</w:t>
      </w: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are land claims issues so slow and difficult to resolve? </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Do you think the use of protests, like the highway 401 blockade, helps or hurts the reconciliation process?  Explain your reasons carefully. </w:t>
      </w: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are three actions that you would recommend the government take—besides setting up a Royal Commission and writing a Statement of Reconciliation—to speed up the process of creating a bond to bridge differences between Aboriginal and </w:t>
      </w: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non-Aboriginal Canadians?</w:t>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Chapter 4:  Reconciling Nationalist and Non-Nationalist Loyalties</w:t>
      </w: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  (Page 89)  </w:t>
      </w:r>
      <w:r w:rsidDel="00000000" w:rsidR="00000000" w:rsidRPr="00000000">
        <w:rPr>
          <w:rFonts w:ascii="Times New Roman" w:cs="Times New Roman" w:eastAsia="Times New Roman" w:hAnsi="Times New Roman"/>
          <w:sz w:val="24"/>
          <w:szCs w:val="24"/>
          <w:u w:val="single"/>
          <w:rtl w:val="0"/>
        </w:rPr>
        <w:t xml:space="preserve">Chapter Issue</w:t>
      </w: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The central chapter issue for chapter 4 is:    </w:t>
      </w: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Use the </w:t>
      </w:r>
      <w:r w:rsidDel="00000000" w:rsidR="00000000" w:rsidRPr="00000000">
        <w:rPr>
          <w:rFonts w:ascii="Times New Roman" w:cs="Times New Roman" w:eastAsia="Times New Roman" w:hAnsi="Times New Roman"/>
          <w:b w:val="1"/>
          <w:b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method to answer the next question.  </w:t>
      </w: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498475</wp:posOffset>
                </wp:positionH>
                <wp:positionV relativeFrom="paragraph">
                  <wp:posOffset>63500</wp:posOffset>
                </wp:positionV>
                <wp:extent cx="4089400" cy="1143000"/>
                <wp:effectExtent b="0" l="0" r="0" t="0"/>
                <wp:wrapNone/>
                <wp:docPr id="9" name=""/>
                <a:graphic>
                  <a:graphicData uri="http://schemas.microsoft.com/office/word/2010/wordprocessingShape">
                    <wps:wsp>
                      <wps:cNvSpPr/>
                      <wps:cNvPr id="15" name="Shape 15"/>
                      <wps:spPr>
                        <a:xfrm>
                          <a:off x="3312413" y="3218025"/>
                          <a:ext cx="4067175" cy="11239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Make a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TATEMENT of opinion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then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XPLAIN your opinion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Give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XAMPLES to support your opinion</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498475</wp:posOffset>
                </wp:positionH>
                <wp:positionV relativeFrom="paragraph">
                  <wp:posOffset>63500</wp:posOffset>
                </wp:positionV>
                <wp:extent cx="4089400" cy="1143000"/>
                <wp:effectExtent b="0" l="0" r="0" t="0"/>
                <wp:wrapNone/>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089400" cy="1143000"/>
                        </a:xfrm>
                        <a:prstGeom prst="rect"/>
                        <a:ln/>
                      </pic:spPr>
                    </pic:pic>
                  </a:graphicData>
                </a:graphic>
              </wp:anchor>
            </w:drawing>
          </mc:Fallback>
        </mc:AlternateConten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it possible for two people’s groups to have extreme differences of opinion on many subjects and yet agree to try to live in peace any way?  </w:t>
      </w: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Write out definitions for the following Key Terms. </w:t>
      </w: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non-nationalist loyalty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inflation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alienation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segregation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Read pages 90 – 91.  </w:t>
      </w: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(Page 91)  </w:t>
      </w:r>
      <w:r w:rsidDel="00000000" w:rsidR="00000000" w:rsidRPr="00000000">
        <w:rPr>
          <w:rFonts w:ascii="Times New Roman" w:cs="Times New Roman" w:eastAsia="Times New Roman" w:hAnsi="Times New Roman"/>
          <w:sz w:val="24"/>
          <w:szCs w:val="24"/>
          <w:u w:val="single"/>
          <w:rtl w:val="0"/>
        </w:rPr>
        <w:t xml:space="preserve">Distinguishing between Nationalist and Non-Nationalist Loyalties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Figure 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Complete the chart below to explain what some Non-Nationalist Loyalties are, and to give your own personal comments on what mean to you in your own life.</w:t>
      </w: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0"/>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2430"/>
        <w:gridCol w:w="4968"/>
        <w:tblGridChange w:id="0">
          <w:tblGrid>
            <w:gridCol w:w="2178"/>
            <w:gridCol w:w="2430"/>
            <w:gridCol w:w="4968"/>
          </w:tblGrid>
        </w:tblGridChange>
      </w:tblGrid>
      <w:tr>
        <w:trPr>
          <w:cantSplit w:val="0"/>
          <w:tblHeader w:val="0"/>
        </w:trPr>
        <w:tc>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Category of </w:t>
            </w: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Non-Nationalist </w:t>
            </w: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Loyalty</w:t>
            </w:r>
            <w:r w:rsidDel="00000000" w:rsidR="00000000" w:rsidRPr="00000000">
              <w:rPr>
                <w:rtl w:val="0"/>
              </w:rPr>
            </w:r>
          </w:p>
        </w:tc>
        <w:tc>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it means</w:t>
            </w:r>
            <w:r w:rsidDel="00000000" w:rsidR="00000000" w:rsidRPr="00000000">
              <w:rPr>
                <w:rtl w:val="0"/>
              </w:rPr>
            </w:r>
          </w:p>
        </w:tc>
        <w:tc>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comment or example from my own life </w:t>
            </w:r>
            <w:r w:rsidDel="00000000" w:rsidR="00000000" w:rsidRPr="00000000">
              <w:rPr>
                <w:rtl w:val="0"/>
              </w:rPr>
            </w:r>
          </w:p>
        </w:tc>
      </w:tr>
      <w:tr>
        <w:trPr>
          <w:cantSplit w:val="0"/>
          <w:tblHeader w:val="0"/>
        </w:trPr>
        <w:tc>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Religious Loyalty</w:t>
            </w: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Regional Loyalty</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Cultural Loyalty</w:t>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Family Loyalty</w:t>
            </w: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Friendship Loyalty</w:t>
            </w: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  (Pages 92-99)  </w:t>
      </w:r>
      <w:r w:rsidDel="00000000" w:rsidR="00000000" w:rsidRPr="00000000">
        <w:rPr>
          <w:rFonts w:ascii="Times New Roman" w:cs="Times New Roman" w:eastAsia="Times New Roman" w:hAnsi="Times New Roman"/>
          <w:sz w:val="24"/>
          <w:szCs w:val="24"/>
          <w:u w:val="single"/>
          <w:rtl w:val="0"/>
        </w:rPr>
        <w:t xml:space="preserve">How can nationalist and Non-Nationalist loyalties compete?</w:t>
      </w: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through this section, and research pages 92 to 99 and give explanations and examples of the following conflicts.  </w:t>
      </w: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Class versus Nationalist Loyalty (page 92)</w:t>
      </w: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Religious versus Nationalist Loyalty (Page 93)</w:t>
      </w: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Regional versus Nationalist Loyalty (Page 95-98)</w:t>
      </w: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  (Page 102)  </w:t>
      </w:r>
      <w:r w:rsidDel="00000000" w:rsidR="00000000" w:rsidRPr="00000000">
        <w:rPr>
          <w:rFonts w:ascii="Times New Roman" w:cs="Times New Roman" w:eastAsia="Times New Roman" w:hAnsi="Times New Roman"/>
          <w:sz w:val="24"/>
          <w:szCs w:val="24"/>
          <w:u w:val="single"/>
          <w:rtl w:val="0"/>
        </w:rPr>
        <w:t xml:space="preserve">How have people reconciled contending nationalist and non-nationalist </w:t>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loyalties?</w:t>
      </w: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  (Page 102)  </w:t>
      </w:r>
      <w:r w:rsidDel="00000000" w:rsidR="00000000" w:rsidRPr="00000000">
        <w:rPr>
          <w:rFonts w:ascii="Times New Roman" w:cs="Times New Roman" w:eastAsia="Times New Roman" w:hAnsi="Times New Roman"/>
          <w:sz w:val="24"/>
          <w:szCs w:val="24"/>
          <w:u w:val="single"/>
          <w:rtl w:val="0"/>
        </w:rPr>
        <w:t xml:space="preserve"> Choosing One Loyalty over Another</w:t>
      </w: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some of the risks people take by choosing one loyalty over another?  Give two examples that show there may be serious repercussions when a person chooses one loyalty over another.  </w:t>
      </w: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  (Page 104)  </w:t>
      </w:r>
      <w:r w:rsidDel="00000000" w:rsidR="00000000" w:rsidRPr="00000000">
        <w:rPr>
          <w:rFonts w:ascii="Times New Roman" w:cs="Times New Roman" w:eastAsia="Times New Roman" w:hAnsi="Times New Roman"/>
          <w:sz w:val="24"/>
          <w:szCs w:val="24"/>
          <w:u w:val="single"/>
          <w:rtl w:val="0"/>
        </w:rPr>
        <w:t xml:space="preserve">Sandra Lovelace Nicholas:  Fighting for First Nations Women</w:t>
      </w: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 section, and answer the following questions.  </w:t>
      </w: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did Lovelace Nicholas discover when she moved back to New Brunswick? </w:t>
      </w: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was your reaction to her discovery when you read it?</w:t>
      </w: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What was the central issue or issues that Lovelace Nicholas protested against?</w:t>
      </w: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were the promised changes not delivered right away?</w:t>
      </w: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how Lovelace Nicholas’s actions are a good example of successfully reconciling her non-nationalist loyalty to Aboriginal women and her nationalist loyalty to all Canadians.  </w:t>
      </w: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for Question 18 in this module~~~~~~~~</w:t>
      </w: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Statement of Reconciliation</w:t>
      </w: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On January 7, 1998, in response to the Royal Commission on Aboriginal Peoples, the Government of Canada announced </w:t>
      </w:r>
      <w:r w:rsidDel="00000000" w:rsidR="00000000" w:rsidRPr="00000000">
        <w:rPr>
          <w:rFonts w:ascii="Times New Roman" w:cs="Times New Roman" w:eastAsia="Times New Roman" w:hAnsi="Times New Roman"/>
          <w:i w:val="1"/>
          <w:iCs w:val="1"/>
          <w:sz w:val="26"/>
          <w:szCs w:val="26"/>
          <w:rtl w:val="0"/>
        </w:rPr>
        <w:t xml:space="preserve">Gathering Strength - Canada's Aboriginal Action Plan</w:t>
      </w:r>
      <w:r w:rsidDel="00000000" w:rsidR="00000000" w:rsidRPr="00000000">
        <w:rPr>
          <w:rFonts w:ascii="Times New Roman" w:cs="Times New Roman" w:eastAsia="Times New Roman" w:hAnsi="Times New Roman"/>
          <w:sz w:val="28"/>
          <w:szCs w:val="28"/>
          <w:rtl w:val="0"/>
        </w:rPr>
        <w:t xml:space="preserve">, which calls for a renewed partnership with Aboriginal people based on recognizing past mistakes and injustices, the advancement of reconciliation, healing and renewal, and the building of a joint plan for the future. The Government offered a Statement of Reconciliation, which acknowledged its role in the development and administration of residential schools. The Government also said to the victims who suffered physical and sexual abuse at residential schools that it is deeply sorry.</w:t>
      </w: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Statement of Reconciliation: Learning from the Past</w:t>
      </w: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As Aboriginal and non-Aboriginal Canadians seek to move forward together in a process of renewal, it is essential that we deal with the legacies of the</w:t>
      </w: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past affecting the Aboriginal peoples of Canada, including the First Nations, Inuit and Métis. Our purpose is not to rewrite history but, rather, to learn from our past and to find ways to deal with the negative impacts that certain historical decisions continue to have in our society today.</w:t>
      </w: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ancestors of First Nations, Inuit and Métis peoples lived on this continent long before explorers from other continents first came to North America. For thousands of years before this country was founded, they enjoyed their own forms of government. Diverse, vibrant Aboriginal nations had ways of life rooted in fundamental values concerning their relationships to the Creator, the environment, and each other, in the role of Elders as the living memory of their ancestors, and in their responsibilities as custodians of the lands, waters and resources of their homelands. The assistance and spiritual values of the Aboriginal peoples who welcomed the newcomers to this continent too often have been forgotten. The contributions made by</w:t>
      </w: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all Aboriginal peoples to Canada's development, and the contributions that they continue to make to our society today, have not been properly acknowledged. The Government of Canada today, on behalf of all Canadians, acknowledges those contributions.</w:t>
      </w: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Sadly, our history with respect to the treatment of Aboriginal people is not something in which we can take pride. Attitudes of racial and cultural superiority led to a suppression of Aboriginal culture and values. As a country, we are burdened by past actions that resulted in weakening the identity of Aboriginal peoples, suppressing their languages and cultures, and outlawing spiritual practices. We must recognize the impact of these</w:t>
      </w: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actions on the once self-sustaining nations that were disaggregated, disrupted, limited or even destroyed by the dispossession of traditional territory, by the relocation of Aboriginal people, and by some provisions of the Indian Act. We must acknowledge that the result of these actions was the erosion of the political, economic and social systems of Aboriginal people and nations.</w:t>
      </w: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Against the backdrop of these historical legacies, it is a remarkable tribute to the strength and endurance of Aboriginal people that they have maintained their historic diversity and identity. The Government of Canada today formally expresses to all Aboriginal people in Canada our profound regret for past actions of the federal government which have contributed to these difficult pages in the history of our relationship together.</w:t>
      </w: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One aspect of our relationship with Aboriginal people over this period that requires particular attention is the Residential School system. This system separated many children from their families and communities and prevented them from speaking their own languages and from learning about their heritage and cultures. In the worst cases, it left legacies of personal pain and distress that continue to reverberate in Aboriginal</w:t>
      </w: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communities to this day. Tragically, some children were the victims of physical and sexual abuse.</w:t>
      </w: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Government of Canada acknowledges the role it played in the development and administration of these schools. Particularly to those individuals who experienced the tragedy of sexual and physical abuse at residential schools, and who have carried this burden believing that in some way they must be responsible, we wish to emphasize that what you experienced was not your fault and should never have happened. To those of you who suffered this tragedy at residential schools, we are deeply sorry.</w:t>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In dealing with the legacies of the Residential School system, the Government of Canada proposes to work with First Nations, Inuit and Métis people, the Churches and other interested parties to resolve the longstanding issues that must be addressed. We need to work together on a healing strategy to assist individuals and communities in dealing with the consequences of this sad era of our history. No attempt at reconciliation with Aboriginal people can be complete without reference to the sad events culminating in the death of Métis leader Louis Riel. These events cannot be undone; however, we can and will continue to look for ways of affirming the</w:t>
      </w: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contributions of Métis people in Canada and of reflecting Louis Riel's proper place in Canada's history.</w:t>
      </w: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Reconciliation is an ongoing process. In renewing our partnership, we must ensure that the mistakes which marked our past relationship are not repeated. The Government of Canada recognizes that policies that sought to assimilate Aboriginal people, women and men, were not the way to build a strong country. We must instead continue to find ways in which Aboriginal people can participate fully in the economic, political, cultural and social life of Canada in a manner which preserves and enhances the collective</w:t>
      </w: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identities of Aboriginal communities, and allows them to evolve and flourish in the future. Working together to achieve our shared goals will benefit all Canadians, Aboriginal and non-Aboriginal alike.</w:t>
      </w: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Accessioned September 7, 2009 from:  http://www.ektf.hu/~amerikanisztika/Documents/Kadar_J/canadian%20studies/aboriginals%20info/Statement%20of%20Reconciliation/statement%20of%20reconciliation-en.pdf</w:t>
      </w: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4"/>
          <w:szCs w:val="34"/>
          <w:rtl w:val="0"/>
        </w:rPr>
        <w:t xml:space="preserve">~~End of Formative 2~~</w:t>
      </w:r>
      <w:r w:rsidDel="00000000" w:rsidR="00000000" w:rsidRPr="00000000">
        <w:rPr>
          <w:rtl w:val="0"/>
        </w:rPr>
      </w:r>
    </w:p>
    <w:p w:rsidR="00000000" w:rsidDel="00000000" w:rsidP="00000000" w:rsidRDefault="00000000" w:rsidRPr="00000000" w14:paraId="000002AC">
      <w:pPr>
        <w:spacing w:after="0" w:before="24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SEE YOUR TEACHER FOR </w:t>
      </w:r>
    </w:p>
    <w:p w:rsidR="00000000" w:rsidDel="00000000" w:rsidP="00000000" w:rsidRDefault="00000000" w:rsidRPr="00000000" w14:paraId="000002AD">
      <w:pPr>
        <w:spacing w:after="0" w:before="24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THE QUIZ AND ESSAY</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sectPr>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jc w:val="center"/>
      <w:rPr/>
    </w:pPr>
    <w:r w:rsidDel="00000000" w:rsidR="00000000" w:rsidRPr="00000000">
      <w:rPr>
        <w:rFonts w:ascii="Calibri" w:cs="Calibri" w:eastAsia="Calibri" w:hAnsi="Calibri"/>
        <w:b w:val="0"/>
        <w:bCs w:val="0"/>
        <w:sz w:val="22"/>
        <w:szCs w:val="22"/>
        <w:rtl w:val="0"/>
      </w:rPr>
      <w:t xml:space="preserve"> SS 20-1    </w:t>
    </w:r>
    <w:r w:rsidDel="00000000" w:rsidR="00000000" w:rsidRPr="00000000">
      <w:rPr>
        <w:rtl w:val="0"/>
      </w:rPr>
      <w:tab/>
    </w:r>
    <w:r w:rsidDel="00000000" w:rsidR="00000000" w:rsidRPr="00000000">
      <w:rPr>
        <w:rFonts w:ascii="Calibri" w:cs="Calibri" w:eastAsia="Calibri" w:hAnsi="Calibri"/>
        <w:b w:val="0"/>
        <w:bCs w:val="0"/>
        <w:sz w:val="22"/>
        <w:szCs w:val="22"/>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2017</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tblPr>
      <w:tblStyleRowBandSize w:val="1"/>
      <w:tblStyleColBandSize w:val="1"/>
      <w:tblCellMar/>
    </w:tbl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hyperlink" Target="https://www.youtube.com/watch?v=ArOIdwcj2w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