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Science 24 games project brief</w:t>
      </w:r>
    </w:p>
    <w:p>
      <w:pPr>
        <w:pStyle w:val="Subtitle"/>
      </w:pPr>
      <w:r>
        <w:t>Eight learning games for Units A to D</w:t>
      </w:r>
    </w:p>
    <w:p>
      <w:r>
        <w:t>Working draft v0.1  |  Prepared for Dean  |  6 October 2026</w:t>
      </w:r>
    </w:p>
    <w:p>
      <w:r>
        <w:t>Use this package to start a ChatGPT project and develop eight focused games that strengthen students’ understanding of major Science 24 concepts. Each game asks learners to predict, manipulate a model, use feedback and apply the idea to a new situation.</w:t>
      </w:r>
    </w:p>
    <w:p>
      <w:r>
        <w:rPr>
          <w:b/>
        </w:rPr>
        <w:t xml:space="preserve">Recommendation </w:t>
      </w:r>
      <w:r>
        <w:t>Start with Atom Factory, then test the shared approach before developing the remaining games. Crash-Test Studio is the next strong demonstration of visible cause and effect.</w:t>
      </w:r>
    </w:p>
    <w:p>
      <w:r>
        <w:rPr>
          <w:b/>
        </w:rPr>
        <w:t xml:space="preserve">Status </w:t>
      </w:r>
      <w:r>
        <w:t>This is a planning document. The mechanics, examples, provisional scope and build order are proposals for review. No game, art set, theme, course change, deployment or project upload is approved or completed by this document.</w:t>
      </w:r>
    </w:p>
    <w:tbl>
      <w:tblPr>
        <w:tblW w:type="auto" w:w="0"/>
        <w:tblLayout w:type="fixed"/>
        <w:tblLook w:firstColumn="1" w:firstRow="1" w:lastColumn="0" w:lastRow="0" w:noHBand="0" w:noVBand="1" w:val="04A0"/>
      </w:tblPr>
      <w:tblGrid>
        <w:gridCol w:w="648"/>
        <w:gridCol w:w="3240"/>
        <w:gridCol w:w="6192"/>
      </w:tblGrid>
      <w:tr>
        <w:trPr>
          <w:cantSplit/>
          <w:tblHeader/>
        </w:trPr>
        <w:tc>
          <w:tcPr>
            <w:tcW w:type="dxa" w:w="648"/>
            <w:tcBorders>
              <w:top w:val="single" w:sz="4" w:color="D9D9D9"/>
              <w:left w:val="single" w:sz="4" w:color="D9D9D9"/>
              <w:bottom w:val="single" w:sz="4" w:color="D9D9D9"/>
              <w:right w:val="single" w:sz="4" w:color="D9D9D9"/>
            </w:tcBorders>
            <w:tcMar>
              <w:top w:w="75" w:type="dxa"/>
              <w:left w:w="75" w:type="dxa"/>
              <w:bottom w:w="75" w:type="dxa"/>
              <w:right w:w="75" w:type="dxa"/>
            </w:tcMar>
            <w:shd w:fill="24485E"/>
            <w:vAlign w:val="center"/>
          </w:tcPr>
          <w:p>
            <w:pPr>
              <w:spacing w:after="20" w:before="20"/>
            </w:pPr>
            <w:r>
              <w:rPr>
                <w:b/>
                <w:color w:val="FFFFFF"/>
                <w:sz w:val="19"/>
              </w:rPr>
              <w:t>ID</w:t>
            </w:r>
          </w:p>
        </w:tc>
        <w:tc>
          <w:tcPr>
            <w:tcW w:type="dxa" w:w="3240"/>
            <w:tcBorders>
              <w:top w:val="single" w:sz="4" w:color="D9D9D9"/>
              <w:left w:val="single" w:sz="4" w:color="D9D9D9"/>
              <w:bottom w:val="single" w:sz="4" w:color="D9D9D9"/>
              <w:right w:val="single" w:sz="4" w:color="D9D9D9"/>
            </w:tcBorders>
            <w:tcMar>
              <w:top w:w="75" w:type="dxa"/>
              <w:left w:w="75" w:type="dxa"/>
              <w:bottom w:w="75" w:type="dxa"/>
              <w:right w:w="75" w:type="dxa"/>
            </w:tcMar>
            <w:shd w:fill="24485E"/>
            <w:vAlign w:val="center"/>
          </w:tcPr>
          <w:p>
            <w:pPr>
              <w:spacing w:after="20" w:before="20"/>
            </w:pPr>
            <w:r>
              <w:rPr>
                <w:b/>
                <w:color w:val="FFFFFF"/>
                <w:sz w:val="19"/>
              </w:rPr>
              <w:t>Game</w:t>
            </w:r>
          </w:p>
        </w:tc>
        <w:tc>
          <w:tcPr>
            <w:tcW w:type="dxa" w:w="6192"/>
            <w:tcBorders>
              <w:top w:val="single" w:sz="4" w:color="D9D9D9"/>
              <w:left w:val="single" w:sz="4" w:color="D9D9D9"/>
              <w:bottom w:val="single" w:sz="4" w:color="D9D9D9"/>
              <w:right w:val="single" w:sz="4" w:color="D9D9D9"/>
            </w:tcBorders>
            <w:tcMar>
              <w:top w:w="75" w:type="dxa"/>
              <w:left w:w="75" w:type="dxa"/>
              <w:bottom w:w="75" w:type="dxa"/>
              <w:right w:w="75" w:type="dxa"/>
            </w:tcMar>
            <w:shd w:fill="24485E"/>
            <w:vAlign w:val="center"/>
          </w:tcPr>
          <w:p>
            <w:pPr>
              <w:spacing w:after="20" w:before="20"/>
            </w:pPr>
            <w:r>
              <w:rPr>
                <w:b/>
                <w:color w:val="FFFFFF"/>
                <w:sz w:val="19"/>
              </w:rPr>
              <w:t>Main learning action</w:t>
            </w:r>
          </w:p>
        </w:tc>
      </w:tr>
      <w:tr>
        <w:trPr>
          <w:cantSplit/>
        </w:trPr>
        <w:tc>
          <w:tcPr>
            <w:tcW w:type="dxa" w:w="648"/>
            <w:tcBorders>
              <w:top w:val="single" w:sz="4" w:color="D9D9D9"/>
              <w:left w:val="single" w:sz="4" w:color="D9D9D9"/>
              <w:bottom w:val="single" w:sz="4" w:color="D9D9D9"/>
              <w:right w:val="single" w:sz="4" w:color="D9D9D9"/>
            </w:tcBorders>
            <w:tcMar>
              <w:top w:w="75" w:type="dxa"/>
              <w:left w:w="75" w:type="dxa"/>
              <w:bottom w:w="75" w:type="dxa"/>
              <w:right w:w="75" w:type="dxa"/>
            </w:tcMar>
            <w:shd w:fill="FFFFFF"/>
            <w:vAlign w:val="center"/>
          </w:tcPr>
          <w:p>
            <w:pPr>
              <w:spacing w:after="20" w:before="20"/>
            </w:pPr>
            <w:r>
              <w:rPr>
                <w:sz w:val="19"/>
              </w:rPr>
              <w:t>A1</w:t>
            </w:r>
          </w:p>
        </w:tc>
        <w:tc>
          <w:tcPr>
            <w:tcW w:type="dxa" w:w="3240"/>
            <w:tcBorders>
              <w:top w:val="single" w:sz="4" w:color="D9D9D9"/>
              <w:left w:val="single" w:sz="4" w:color="D9D9D9"/>
              <w:bottom w:val="single" w:sz="4" w:color="D9D9D9"/>
              <w:right w:val="single" w:sz="4" w:color="D9D9D9"/>
            </w:tcBorders>
            <w:tcMar>
              <w:top w:w="75" w:type="dxa"/>
              <w:left w:w="75" w:type="dxa"/>
              <w:bottom w:w="75" w:type="dxa"/>
              <w:right w:w="75" w:type="dxa"/>
            </w:tcMar>
            <w:shd w:fill="FFFFFF"/>
            <w:vAlign w:val="center"/>
          </w:tcPr>
          <w:p>
            <w:pPr>
              <w:spacing w:after="20" w:before="20"/>
            </w:pPr>
            <w:r>
              <w:rPr>
                <w:sz w:val="19"/>
              </w:rPr>
              <w:t>Reaction Detective</w:t>
            </w:r>
          </w:p>
        </w:tc>
        <w:tc>
          <w:tcPr>
            <w:tcW w:type="dxa" w:w="6192"/>
            <w:tcBorders>
              <w:top w:val="single" w:sz="4" w:color="D9D9D9"/>
              <w:left w:val="single" w:sz="4" w:color="D9D9D9"/>
              <w:bottom w:val="single" w:sz="4" w:color="D9D9D9"/>
              <w:right w:val="single" w:sz="4" w:color="D9D9D9"/>
            </w:tcBorders>
            <w:tcMar>
              <w:top w:w="75" w:type="dxa"/>
              <w:left w:w="75" w:type="dxa"/>
              <w:bottom w:w="75" w:type="dxa"/>
              <w:right w:w="75" w:type="dxa"/>
            </w:tcMar>
            <w:shd w:fill="FFFFFF"/>
            <w:vAlign w:val="center"/>
          </w:tcPr>
          <w:p>
            <w:pPr>
              <w:spacing w:after="20" w:before="20"/>
            </w:pPr>
            <w:r>
              <w:rPr>
                <w:sz w:val="19"/>
              </w:rPr>
              <w:t>Use evidence to explain a change</w:t>
            </w:r>
          </w:p>
        </w:tc>
      </w:tr>
      <w:tr>
        <w:trPr>
          <w:cantSplit/>
        </w:trPr>
        <w:tc>
          <w:tcPr>
            <w:tcW w:type="dxa" w:w="648"/>
            <w:tcBorders>
              <w:top w:val="single" w:sz="4" w:color="D9D9D9"/>
              <w:left w:val="single" w:sz="4" w:color="D9D9D9"/>
              <w:bottom w:val="single" w:sz="4" w:color="D9D9D9"/>
              <w:right w:val="single" w:sz="4" w:color="D9D9D9"/>
            </w:tcBorders>
            <w:tcMar>
              <w:top w:w="75" w:type="dxa"/>
              <w:left w:w="75" w:type="dxa"/>
              <w:bottom w:w="75" w:type="dxa"/>
              <w:right w:w="75" w:type="dxa"/>
            </w:tcMar>
            <w:shd w:fill="F1F5F7"/>
            <w:vAlign w:val="center"/>
          </w:tcPr>
          <w:p>
            <w:pPr>
              <w:spacing w:after="20" w:before="20"/>
            </w:pPr>
            <w:r>
              <w:rPr>
                <w:sz w:val="19"/>
              </w:rPr>
              <w:t>A2</w:t>
            </w:r>
          </w:p>
        </w:tc>
        <w:tc>
          <w:tcPr>
            <w:tcW w:type="dxa" w:w="3240"/>
            <w:tcBorders>
              <w:top w:val="single" w:sz="4" w:color="D9D9D9"/>
              <w:left w:val="single" w:sz="4" w:color="D9D9D9"/>
              <w:bottom w:val="single" w:sz="4" w:color="D9D9D9"/>
              <w:right w:val="single" w:sz="4" w:color="D9D9D9"/>
            </w:tcBorders>
            <w:tcMar>
              <w:top w:w="75" w:type="dxa"/>
              <w:left w:w="75" w:type="dxa"/>
              <w:bottom w:w="75" w:type="dxa"/>
              <w:right w:w="75" w:type="dxa"/>
            </w:tcMar>
            <w:shd w:fill="F1F5F7"/>
            <w:vAlign w:val="center"/>
          </w:tcPr>
          <w:p>
            <w:pPr>
              <w:spacing w:after="20" w:before="20"/>
            </w:pPr>
            <w:r>
              <w:rPr>
                <w:sz w:val="19"/>
              </w:rPr>
              <w:t>Atom Factory</w:t>
            </w:r>
          </w:p>
        </w:tc>
        <w:tc>
          <w:tcPr>
            <w:tcW w:type="dxa" w:w="6192"/>
            <w:tcBorders>
              <w:top w:val="single" w:sz="4" w:color="D9D9D9"/>
              <w:left w:val="single" w:sz="4" w:color="D9D9D9"/>
              <w:bottom w:val="single" w:sz="4" w:color="D9D9D9"/>
              <w:right w:val="single" w:sz="4" w:color="D9D9D9"/>
            </w:tcBorders>
            <w:tcMar>
              <w:top w:w="75" w:type="dxa"/>
              <w:left w:w="75" w:type="dxa"/>
              <w:bottom w:w="75" w:type="dxa"/>
              <w:right w:w="75" w:type="dxa"/>
            </w:tcMar>
            <w:shd w:fill="F1F5F7"/>
            <w:vAlign w:val="center"/>
          </w:tcPr>
          <w:p>
            <w:pPr>
              <w:spacing w:after="20" w:before="20"/>
            </w:pPr>
            <w:r>
              <w:rPr>
                <w:sz w:val="19"/>
              </w:rPr>
              <w:t>Balance particles and equations</w:t>
            </w:r>
          </w:p>
        </w:tc>
      </w:tr>
      <w:tr>
        <w:trPr>
          <w:cantSplit/>
        </w:trPr>
        <w:tc>
          <w:tcPr>
            <w:tcW w:type="dxa" w:w="648"/>
            <w:tcBorders>
              <w:top w:val="single" w:sz="4" w:color="D9D9D9"/>
              <w:left w:val="single" w:sz="4" w:color="D9D9D9"/>
              <w:bottom w:val="single" w:sz="4" w:color="D9D9D9"/>
              <w:right w:val="single" w:sz="4" w:color="D9D9D9"/>
            </w:tcBorders>
            <w:tcMar>
              <w:top w:w="75" w:type="dxa"/>
              <w:left w:w="75" w:type="dxa"/>
              <w:bottom w:w="75" w:type="dxa"/>
              <w:right w:w="75" w:type="dxa"/>
            </w:tcMar>
            <w:shd w:fill="FFFFFF"/>
            <w:vAlign w:val="center"/>
          </w:tcPr>
          <w:p>
            <w:pPr>
              <w:spacing w:after="20" w:before="20"/>
            </w:pPr>
            <w:r>
              <w:rPr>
                <w:sz w:val="19"/>
              </w:rPr>
              <w:t>B1</w:t>
            </w:r>
          </w:p>
        </w:tc>
        <w:tc>
          <w:tcPr>
            <w:tcW w:type="dxa" w:w="3240"/>
            <w:tcBorders>
              <w:top w:val="single" w:sz="4" w:color="D9D9D9"/>
              <w:left w:val="single" w:sz="4" w:color="D9D9D9"/>
              <w:bottom w:val="single" w:sz="4" w:color="D9D9D9"/>
              <w:right w:val="single" w:sz="4" w:color="D9D9D9"/>
            </w:tcBorders>
            <w:tcMar>
              <w:top w:w="75" w:type="dxa"/>
              <w:left w:w="75" w:type="dxa"/>
              <w:bottom w:w="75" w:type="dxa"/>
              <w:right w:w="75" w:type="dxa"/>
            </w:tcMar>
            <w:shd w:fill="FFFFFF"/>
            <w:vAlign w:val="center"/>
          </w:tcPr>
          <w:p>
            <w:pPr>
              <w:spacing w:after="20" w:before="20"/>
            </w:pPr>
            <w:r>
              <w:rPr>
                <w:sz w:val="19"/>
              </w:rPr>
              <w:t>Energy Chain Rescue</w:t>
            </w:r>
          </w:p>
        </w:tc>
        <w:tc>
          <w:tcPr>
            <w:tcW w:type="dxa" w:w="6192"/>
            <w:tcBorders>
              <w:top w:val="single" w:sz="4" w:color="D9D9D9"/>
              <w:left w:val="single" w:sz="4" w:color="D9D9D9"/>
              <w:bottom w:val="single" w:sz="4" w:color="D9D9D9"/>
              <w:right w:val="single" w:sz="4" w:color="D9D9D9"/>
            </w:tcBorders>
            <w:tcMar>
              <w:top w:w="75" w:type="dxa"/>
              <w:left w:w="75" w:type="dxa"/>
              <w:bottom w:w="75" w:type="dxa"/>
              <w:right w:w="75" w:type="dxa"/>
            </w:tcMar>
            <w:shd w:fill="FFFFFF"/>
            <w:vAlign w:val="center"/>
          </w:tcPr>
          <w:p>
            <w:pPr>
              <w:spacing w:after="20" w:before="20"/>
            </w:pPr>
            <w:r>
              <w:rPr>
                <w:sz w:val="19"/>
              </w:rPr>
              <w:t>Trace and account for energy</w:t>
            </w:r>
          </w:p>
        </w:tc>
      </w:tr>
      <w:tr>
        <w:trPr>
          <w:cantSplit/>
        </w:trPr>
        <w:tc>
          <w:tcPr>
            <w:tcW w:type="dxa" w:w="648"/>
            <w:tcBorders>
              <w:top w:val="single" w:sz="4" w:color="D9D9D9"/>
              <w:left w:val="single" w:sz="4" w:color="D9D9D9"/>
              <w:bottom w:val="single" w:sz="4" w:color="D9D9D9"/>
              <w:right w:val="single" w:sz="4" w:color="D9D9D9"/>
            </w:tcBorders>
            <w:tcMar>
              <w:top w:w="75" w:type="dxa"/>
              <w:left w:w="75" w:type="dxa"/>
              <w:bottom w:w="75" w:type="dxa"/>
              <w:right w:w="75" w:type="dxa"/>
            </w:tcMar>
            <w:shd w:fill="F1F5F7"/>
            <w:vAlign w:val="center"/>
          </w:tcPr>
          <w:p>
            <w:pPr>
              <w:spacing w:after="20" w:before="20"/>
            </w:pPr>
            <w:r>
              <w:rPr>
                <w:sz w:val="19"/>
              </w:rPr>
              <w:t>B2</w:t>
            </w:r>
          </w:p>
        </w:tc>
        <w:tc>
          <w:tcPr>
            <w:tcW w:type="dxa" w:w="3240"/>
            <w:tcBorders>
              <w:top w:val="single" w:sz="4" w:color="D9D9D9"/>
              <w:left w:val="single" w:sz="4" w:color="D9D9D9"/>
              <w:bottom w:val="single" w:sz="4" w:color="D9D9D9"/>
              <w:right w:val="single" w:sz="4" w:color="D9D9D9"/>
            </w:tcBorders>
            <w:tcMar>
              <w:top w:w="75" w:type="dxa"/>
              <w:left w:w="75" w:type="dxa"/>
              <w:bottom w:w="75" w:type="dxa"/>
              <w:right w:w="75" w:type="dxa"/>
            </w:tcMar>
            <w:shd w:fill="F1F5F7"/>
            <w:vAlign w:val="center"/>
          </w:tcPr>
          <w:p>
            <w:pPr>
              <w:spacing w:after="20" w:before="20"/>
            </w:pPr>
            <w:r>
              <w:rPr>
                <w:sz w:val="19"/>
              </w:rPr>
              <w:t>Power Budget Challenge</w:t>
            </w:r>
          </w:p>
        </w:tc>
        <w:tc>
          <w:tcPr>
            <w:tcW w:type="dxa" w:w="6192"/>
            <w:tcBorders>
              <w:top w:val="single" w:sz="4" w:color="D9D9D9"/>
              <w:left w:val="single" w:sz="4" w:color="D9D9D9"/>
              <w:bottom w:val="single" w:sz="4" w:color="D9D9D9"/>
              <w:right w:val="single" w:sz="4" w:color="D9D9D9"/>
            </w:tcBorders>
            <w:tcMar>
              <w:top w:w="75" w:type="dxa"/>
              <w:left w:w="75" w:type="dxa"/>
              <w:bottom w:w="75" w:type="dxa"/>
              <w:right w:w="75" w:type="dxa"/>
            </w:tcMar>
            <w:shd w:fill="F1F5F7"/>
            <w:vAlign w:val="center"/>
          </w:tcPr>
          <w:p>
            <w:pPr>
              <w:spacing w:after="20" w:before="20"/>
            </w:pPr>
            <w:r>
              <w:rPr>
                <w:sz w:val="19"/>
              </w:rPr>
              <w:t>Meet a service need within an energy cap</w:t>
            </w:r>
          </w:p>
        </w:tc>
      </w:tr>
      <w:tr>
        <w:trPr>
          <w:cantSplit/>
        </w:trPr>
        <w:tc>
          <w:tcPr>
            <w:tcW w:type="dxa" w:w="648"/>
            <w:tcBorders>
              <w:top w:val="single" w:sz="4" w:color="D9D9D9"/>
              <w:left w:val="single" w:sz="4" w:color="D9D9D9"/>
              <w:bottom w:val="single" w:sz="4" w:color="D9D9D9"/>
              <w:right w:val="single" w:sz="4" w:color="D9D9D9"/>
            </w:tcBorders>
            <w:tcMar>
              <w:top w:w="75" w:type="dxa"/>
              <w:left w:w="75" w:type="dxa"/>
              <w:bottom w:w="75" w:type="dxa"/>
              <w:right w:w="75" w:type="dxa"/>
            </w:tcMar>
            <w:shd w:fill="FFFFFF"/>
            <w:vAlign w:val="center"/>
          </w:tcPr>
          <w:p>
            <w:pPr>
              <w:spacing w:after="20" w:before="20"/>
            </w:pPr>
            <w:r>
              <w:rPr>
                <w:sz w:val="19"/>
              </w:rPr>
              <w:t>C1</w:t>
            </w:r>
          </w:p>
        </w:tc>
        <w:tc>
          <w:tcPr>
            <w:tcW w:type="dxa" w:w="3240"/>
            <w:tcBorders>
              <w:top w:val="single" w:sz="4" w:color="D9D9D9"/>
              <w:left w:val="single" w:sz="4" w:color="D9D9D9"/>
              <w:bottom w:val="single" w:sz="4" w:color="D9D9D9"/>
              <w:right w:val="single" w:sz="4" w:color="D9D9D9"/>
            </w:tcBorders>
            <w:tcMar>
              <w:top w:w="75" w:type="dxa"/>
              <w:left w:w="75" w:type="dxa"/>
              <w:bottom w:w="75" w:type="dxa"/>
              <w:right w:w="75" w:type="dxa"/>
            </w:tcMar>
            <w:shd w:fill="FFFFFF"/>
            <w:vAlign w:val="center"/>
          </w:tcPr>
          <w:p>
            <w:pPr>
              <w:spacing w:after="20" w:before="20"/>
            </w:pPr>
            <w:r>
              <w:rPr>
                <w:sz w:val="19"/>
              </w:rPr>
              <w:t>Break the Chain</w:t>
            </w:r>
          </w:p>
        </w:tc>
        <w:tc>
          <w:tcPr>
            <w:tcW w:type="dxa" w:w="6192"/>
            <w:tcBorders>
              <w:top w:val="single" w:sz="4" w:color="D9D9D9"/>
              <w:left w:val="single" w:sz="4" w:color="D9D9D9"/>
              <w:bottom w:val="single" w:sz="4" w:color="D9D9D9"/>
              <w:right w:val="single" w:sz="4" w:color="D9D9D9"/>
            </w:tcBorders>
            <w:tcMar>
              <w:top w:w="75" w:type="dxa"/>
              <w:left w:w="75" w:type="dxa"/>
              <w:bottom w:w="75" w:type="dxa"/>
              <w:right w:w="75" w:type="dxa"/>
            </w:tcMar>
            <w:shd w:fill="FFFFFF"/>
            <w:vAlign w:val="center"/>
          </w:tcPr>
          <w:p>
            <w:pPr>
              <w:spacing w:after="20" w:before="20"/>
            </w:pPr>
            <w:r>
              <w:rPr>
                <w:sz w:val="19"/>
              </w:rPr>
              <w:t>Interrupt a supported transmission route</w:t>
            </w:r>
          </w:p>
        </w:tc>
      </w:tr>
      <w:tr>
        <w:trPr>
          <w:cantSplit/>
        </w:trPr>
        <w:tc>
          <w:tcPr>
            <w:tcW w:type="dxa" w:w="648"/>
            <w:tcBorders>
              <w:top w:val="single" w:sz="4" w:color="D9D9D9"/>
              <w:left w:val="single" w:sz="4" w:color="D9D9D9"/>
              <w:bottom w:val="single" w:sz="4" w:color="D9D9D9"/>
              <w:right w:val="single" w:sz="4" w:color="D9D9D9"/>
            </w:tcBorders>
            <w:tcMar>
              <w:top w:w="75" w:type="dxa"/>
              <w:left w:w="75" w:type="dxa"/>
              <w:bottom w:w="75" w:type="dxa"/>
              <w:right w:w="75" w:type="dxa"/>
            </w:tcMar>
            <w:shd w:fill="F1F5F7"/>
            <w:vAlign w:val="center"/>
          </w:tcPr>
          <w:p>
            <w:pPr>
              <w:spacing w:after="20" w:before="20"/>
            </w:pPr>
            <w:r>
              <w:rPr>
                <w:sz w:val="19"/>
              </w:rPr>
              <w:t>C2</w:t>
            </w:r>
          </w:p>
        </w:tc>
        <w:tc>
          <w:tcPr>
            <w:tcW w:type="dxa" w:w="3240"/>
            <w:tcBorders>
              <w:top w:val="single" w:sz="4" w:color="D9D9D9"/>
              <w:left w:val="single" w:sz="4" w:color="D9D9D9"/>
              <w:bottom w:val="single" w:sz="4" w:color="D9D9D9"/>
              <w:right w:val="single" w:sz="4" w:color="D9D9D9"/>
            </w:tcBorders>
            <w:tcMar>
              <w:top w:w="75" w:type="dxa"/>
              <w:left w:w="75" w:type="dxa"/>
              <w:bottom w:w="75" w:type="dxa"/>
              <w:right w:w="75" w:type="dxa"/>
            </w:tcMar>
            <w:shd w:fill="F1F5F7"/>
            <w:vAlign w:val="center"/>
          </w:tcPr>
          <w:p>
            <w:pPr>
              <w:spacing w:after="20" w:before="20"/>
            </w:pPr>
            <w:r>
              <w:rPr>
                <w:sz w:val="19"/>
              </w:rPr>
              <w:t>Inheritance Detective</w:t>
            </w:r>
          </w:p>
        </w:tc>
        <w:tc>
          <w:tcPr>
            <w:tcW w:type="dxa" w:w="6192"/>
            <w:tcBorders>
              <w:top w:val="single" w:sz="4" w:color="D9D9D9"/>
              <w:left w:val="single" w:sz="4" w:color="D9D9D9"/>
              <w:bottom w:val="single" w:sz="4" w:color="D9D9D9"/>
              <w:right w:val="single" w:sz="4" w:color="D9D9D9"/>
            </w:tcBorders>
            <w:tcMar>
              <w:top w:w="75" w:type="dxa"/>
              <w:left w:w="75" w:type="dxa"/>
              <w:bottom w:w="75" w:type="dxa"/>
              <w:right w:w="75" w:type="dxa"/>
            </w:tcMar>
            <w:shd w:fill="F1F5F7"/>
            <w:vAlign w:val="center"/>
          </w:tcPr>
          <w:p>
            <w:pPr>
              <w:spacing w:after="20" w:before="20"/>
            </w:pPr>
            <w:r>
              <w:rPr>
                <w:sz w:val="19"/>
              </w:rPr>
              <w:t>Infer possible genotypes and probabilities</w:t>
            </w:r>
          </w:p>
        </w:tc>
      </w:tr>
      <w:tr>
        <w:trPr>
          <w:cantSplit/>
        </w:trPr>
        <w:tc>
          <w:tcPr>
            <w:tcW w:type="dxa" w:w="648"/>
            <w:tcBorders>
              <w:top w:val="single" w:sz="4" w:color="D9D9D9"/>
              <w:left w:val="single" w:sz="4" w:color="D9D9D9"/>
              <w:bottom w:val="single" w:sz="4" w:color="D9D9D9"/>
              <w:right w:val="single" w:sz="4" w:color="D9D9D9"/>
            </w:tcBorders>
            <w:tcMar>
              <w:top w:w="75" w:type="dxa"/>
              <w:left w:w="75" w:type="dxa"/>
              <w:bottom w:w="75" w:type="dxa"/>
              <w:right w:w="75" w:type="dxa"/>
            </w:tcMar>
            <w:shd w:fill="FFFFFF"/>
            <w:vAlign w:val="center"/>
          </w:tcPr>
          <w:p>
            <w:pPr>
              <w:spacing w:after="20" w:before="20"/>
            </w:pPr>
            <w:r>
              <w:rPr>
                <w:sz w:val="19"/>
              </w:rPr>
              <w:t>D1</w:t>
            </w:r>
          </w:p>
        </w:tc>
        <w:tc>
          <w:tcPr>
            <w:tcW w:type="dxa" w:w="3240"/>
            <w:tcBorders>
              <w:top w:val="single" w:sz="4" w:color="D9D9D9"/>
              <w:left w:val="single" w:sz="4" w:color="D9D9D9"/>
              <w:bottom w:val="single" w:sz="4" w:color="D9D9D9"/>
              <w:right w:val="single" w:sz="4" w:color="D9D9D9"/>
            </w:tcBorders>
            <w:tcMar>
              <w:top w:w="75" w:type="dxa"/>
              <w:left w:w="75" w:type="dxa"/>
              <w:bottom w:w="75" w:type="dxa"/>
              <w:right w:w="75" w:type="dxa"/>
            </w:tcMar>
            <w:shd w:fill="FFFFFF"/>
            <w:vAlign w:val="center"/>
          </w:tcPr>
          <w:p>
            <w:pPr>
              <w:spacing w:after="20" w:before="20"/>
            </w:pPr>
            <w:r>
              <w:rPr>
                <w:sz w:val="19"/>
              </w:rPr>
              <w:t>Safe Stop Challenge</w:t>
            </w:r>
          </w:p>
        </w:tc>
        <w:tc>
          <w:tcPr>
            <w:tcW w:type="dxa" w:w="6192"/>
            <w:tcBorders>
              <w:top w:val="single" w:sz="4" w:color="D9D9D9"/>
              <w:left w:val="single" w:sz="4" w:color="D9D9D9"/>
              <w:bottom w:val="single" w:sz="4" w:color="D9D9D9"/>
              <w:right w:val="single" w:sz="4" w:color="D9D9D9"/>
            </w:tcBorders>
            <w:tcMar>
              <w:top w:w="75" w:type="dxa"/>
              <w:left w:w="75" w:type="dxa"/>
              <w:bottom w:w="75" w:type="dxa"/>
              <w:right w:w="75" w:type="dxa"/>
            </w:tcMar>
            <w:shd w:fill="FFFFFF"/>
            <w:vAlign w:val="center"/>
          </w:tcPr>
          <w:p>
            <w:pPr>
              <w:spacing w:after="20" w:before="20"/>
            </w:pPr>
            <w:r>
              <w:rPr>
                <w:sz w:val="19"/>
              </w:rPr>
              <w:t>Predict stopping location and read a graph</w:t>
            </w:r>
          </w:p>
        </w:tc>
      </w:tr>
      <w:tr>
        <w:trPr>
          <w:cantSplit/>
        </w:trPr>
        <w:tc>
          <w:tcPr>
            <w:tcW w:type="dxa" w:w="648"/>
            <w:tcBorders>
              <w:top w:val="single" w:sz="4" w:color="D9D9D9"/>
              <w:left w:val="single" w:sz="4" w:color="D9D9D9"/>
              <w:bottom w:val="single" w:sz="4" w:color="D9D9D9"/>
              <w:right w:val="single" w:sz="4" w:color="D9D9D9"/>
            </w:tcBorders>
            <w:tcMar>
              <w:top w:w="75" w:type="dxa"/>
              <w:left w:w="75" w:type="dxa"/>
              <w:bottom w:w="75" w:type="dxa"/>
              <w:right w:w="75" w:type="dxa"/>
            </w:tcMar>
            <w:shd w:fill="F1F5F7"/>
            <w:vAlign w:val="center"/>
          </w:tcPr>
          <w:p>
            <w:pPr>
              <w:spacing w:after="20" w:before="20"/>
            </w:pPr>
            <w:r>
              <w:rPr>
                <w:sz w:val="19"/>
              </w:rPr>
              <w:t>D2</w:t>
            </w:r>
          </w:p>
        </w:tc>
        <w:tc>
          <w:tcPr>
            <w:tcW w:type="dxa" w:w="3240"/>
            <w:tcBorders>
              <w:top w:val="single" w:sz="4" w:color="D9D9D9"/>
              <w:left w:val="single" w:sz="4" w:color="D9D9D9"/>
              <w:bottom w:val="single" w:sz="4" w:color="D9D9D9"/>
              <w:right w:val="single" w:sz="4" w:color="D9D9D9"/>
            </w:tcBorders>
            <w:tcMar>
              <w:top w:w="75" w:type="dxa"/>
              <w:left w:w="75" w:type="dxa"/>
              <w:bottom w:w="75" w:type="dxa"/>
              <w:right w:w="75" w:type="dxa"/>
            </w:tcMar>
            <w:shd w:fill="F1F5F7"/>
            <w:vAlign w:val="center"/>
          </w:tcPr>
          <w:p>
            <w:pPr>
              <w:spacing w:after="20" w:before="20"/>
            </w:pPr>
            <w:r>
              <w:rPr>
                <w:sz w:val="19"/>
              </w:rPr>
              <w:t>Crash-Test Studio</w:t>
            </w:r>
          </w:p>
        </w:tc>
        <w:tc>
          <w:tcPr>
            <w:tcW w:type="dxa" w:w="6192"/>
            <w:tcBorders>
              <w:top w:val="single" w:sz="4" w:color="D9D9D9"/>
              <w:left w:val="single" w:sz="4" w:color="D9D9D9"/>
              <w:bottom w:val="single" w:sz="4" w:color="D9D9D9"/>
              <w:right w:val="single" w:sz="4" w:color="D9D9D9"/>
            </w:tcBorders>
            <w:tcMar>
              <w:top w:w="75" w:type="dxa"/>
              <w:left w:w="75" w:type="dxa"/>
              <w:bottom w:w="75" w:type="dxa"/>
              <w:right w:w="75" w:type="dxa"/>
            </w:tcMar>
            <w:shd w:fill="F1F5F7"/>
            <w:vAlign w:val="center"/>
          </w:tcPr>
          <w:p>
            <w:pPr>
              <w:spacing w:after="20" w:before="20"/>
            </w:pPr>
            <w:r>
              <w:rPr>
                <w:sz w:val="19"/>
              </w:rPr>
              <w:t>Compare impulse and force in controlled tests</w:t>
            </w:r>
          </w:p>
        </w:tc>
      </w:tr>
    </w:tbl>
    <w:p>
      <w:pPr>
        <w:pStyle w:val="Heading2"/>
      </w:pPr>
      <w:r>
        <w:t>How to use the package</w:t>
      </w:r>
    </w:p>
    <w:p>
      <w:pPr>
        <w:pStyle w:val="ListBullet"/>
      </w:pPr>
      <w:r>
        <w:t>Upload this DOCX and the companion TXT into a new Science 24 games project. Use the TXT’s project instructions and first prompt to establish scope before requesting a build.</w:t>
      </w:r>
    </w:p>
    <w:p>
      <w:pPr>
        <w:pStyle w:val="ListBullet"/>
      </w:pPr>
      <w:r>
        <w:t>Develop one game at a time. Keep a decision log, source list, scenario bank and test record; retain this brief as the common reference.</w:t>
      </w:r>
    </w:p>
    <w:p>
      <w:pPr>
        <w:pStyle w:val="ListBullet"/>
      </w:pPr>
      <w:r>
        <w:t>Use the source manifest for curriculum locators and scientific references. Add the current course files before final lesson placement or source-example reuse.</w:t>
      </w:r>
    </w:p>
    <w:p>
      <w:r>
        <w:t>Planning assumptions: individual use, roughly 8–12 minutes per mission, phone and keyboard access, plain language without reducing scientific demand. Confirm these during the first pilot.</w:t>
      </w:r>
    </w:p>
    <w:p>
      <w:r>
        <w:br w:type="page"/>
      </w:r>
    </w:p>
    <w:p>
      <w:pPr>
        <w:pStyle w:val="Heading1"/>
      </w:pPr>
      <w:r>
        <w:t>Shared learning and interaction design</w:t>
      </w:r>
    </w:p>
    <w:p>
      <w:pPr>
        <w:pStyle w:val="Heading2"/>
      </w:pPr>
      <w:r>
        <w:t>One consistent learning sequence</w:t>
      </w:r>
    </w:p>
    <w:p>
      <w:r>
        <w:rPr>
          <w:b/>
        </w:rPr>
        <w:t xml:space="preserve">1  Brief </w:t>
      </w:r>
      <w:r>
        <w:t>Give a practical goal, the scientific question, the allowed actions and a visible success criterion. Define new terms before they are needed.</w:t>
      </w:r>
    </w:p>
    <w:p>
      <w:r>
        <w:rPr>
          <w:b/>
        </w:rPr>
        <w:t xml:space="preserve">2  Worked round </w:t>
      </w:r>
      <w:r>
        <w:t>Demonstrate a complete reasoning process, including units and a likely mistake. Do not count copying that example as independent evidence.</w:t>
      </w:r>
    </w:p>
    <w:p>
      <w:r>
        <w:rPr>
          <w:b/>
        </w:rPr>
        <w:t xml:space="preserve">3  Supported attempt </w:t>
      </w:r>
      <w:r>
        <w:t>Ask the learner to predict before running the model. Supply one specific hint at a time rather than immediately revealing the answer.</w:t>
      </w:r>
    </w:p>
    <w:p>
      <w:r>
        <w:rPr>
          <w:b/>
        </w:rPr>
        <w:t xml:space="preserve">4  Feedback and retry </w:t>
      </w:r>
      <w:r>
        <w:t>Show what the action changed and why. Retain the learner’s attempt during the current session so it can be compared with a revision.</w:t>
      </w:r>
    </w:p>
    <w:p>
      <w:r>
        <w:rPr>
          <w:b/>
        </w:rPr>
        <w:t xml:space="preserve">5  Fresh transfer </w:t>
      </w:r>
      <w:r>
        <w:t>Change the context or representation as well as the numbers. Require a new construction, calculation or explanation without exposing the worked solution first.</w:t>
      </w:r>
    </w:p>
    <w:p>
      <w:r>
        <w:rPr>
          <w:b/>
        </w:rPr>
        <w:t xml:space="preserve">6  Review </w:t>
      </w:r>
      <w:r>
        <w:t>Summarize what the learner demonstrated, where support was used and the next useful practice. Distinguish task completion from mastery.</w:t>
      </w:r>
    </w:p>
    <w:p>
      <w:pPr>
        <w:pStyle w:val="Heading2"/>
      </w:pPr>
      <w:r>
        <w:t>Success and feedback</w:t>
      </w:r>
    </w:p>
    <w:p>
      <w:r>
        <w:t>Judge three things: a scientifically valid result, relevant reasoning and independent transfer. Speed is not a scoring criterion. Hints and retries support learning; they should not shame a learner or erase a useful attempt. Repeated guessing must not unlock a mastery claim.</w:t>
      </w:r>
    </w:p>
    <w:p>
      <w:r>
        <w:t>Exact calculations, atom counts and constrained placements can have deterministic checks. Open explanations need a visible rubric or a teacher-review status. A keyword match cannot establish the quality of an explanation. An exemplar is a comparison tool, not evidence that the learner wrote a correct answer.</w:t>
      </w:r>
    </w:p>
    <w:p>
      <w:pPr>
        <w:pStyle w:val="Heading2"/>
      </w:pPr>
      <w:r>
        <w:t>Bounded first versions</w:t>
      </w:r>
    </w:p>
    <w:p>
      <w:r>
        <w:t>Each game has one primary interaction. The first playable version needs one worked round, a small authored scenario set, targeted misconception feedback and one fresh transfer case. Do not add an economy, leaderboard, avatar progression, multiplayer or a large adventure map before the learning loop works.</w:t>
      </w:r>
    </w:p>
    <w:p>
      <w:pPr>
        <w:pStyle w:val="Heading2"/>
      </w:pPr>
      <w:r>
        <w:t>State and navigation</w:t>
      </w:r>
    </w:p>
    <w:p>
      <w:r>
        <w:t>Use an explicit stage sequence: brief → worked example → attempt → feedback/retry → transfer → review. Each scenario has an ID and version. Keep the prediction, model inputs, attempt and feedback distinct. Reset clearly restarts a round; a new scenario must not silently retain incompatible inputs.</w:t>
      </w:r>
    </w:p>
    <w:p>
      <w:r>
        <w:t>For an initial data-free prototype, state is anonymous and held only in memory. No logins, identifiers, analytics, cloud saving, recordings or learner profiling. Any later persistence or LMS connection needs a separate design decision and review of the existing course contracts.</w:t>
      </w:r>
    </w:p>
    <w:p>
      <w:pPr>
        <w:pStyle w:val="Heading2"/>
      </w:pPr>
      <w:r>
        <w:t>Reusable components</w:t>
      </w:r>
    </w:p>
    <w:p>
      <w:r>
        <w:t>Reuse the mission header, instructions, hint ladder, prediction field, explanation rubric, reset controls and result summary. Reuse interaction patterns where they fit: tile/ledger puzzles, evidence boards and parameter-driven simulations. Keep each scientific model separate and testable.</w:t>
      </w:r>
    </w:p>
    <w:p>
      <w:r>
        <w:br w:type="page"/>
      </w:r>
    </w:p>
    <w:p>
      <w:pPr>
        <w:pStyle w:val="Heading1"/>
      </w:pPr>
      <w:r>
        <w:t>Scientific accuracy visuals and access</w:t>
      </w:r>
    </w:p>
    <w:p>
      <w:pPr>
        <w:pStyle w:val="Heading2"/>
      </w:pPr>
      <w:r>
        <w:t>Separate scientific models from decoration</w:t>
      </w:r>
    </w:p>
    <w:p>
      <w:r>
        <w:t>Equations, atom counts, allele relationships, graph axes, energy quantities, route logic and force calculations are exact learning content. Represent these with authored text and deterministic diagrams or controls. They must not depend on an image generator placing the right label, atom, arrow or number.</w:t>
      </w:r>
    </w:p>
    <w:p>
      <w:r>
        <w:t>Illustration can establish the workshop, community centre, fictional setting or laboratory atmosphere. It must not introduce extra apparatus, chemical claims, pathways or numerical scales that contradict the model. Keep labels and instructions outside decorative art. All future assets need a source or generation record and a scientific review.</w:t>
      </w:r>
    </w:p>
    <w:p>
      <w:pPr>
        <w:pStyle w:val="Heading2"/>
      </w:pPr>
      <w:r>
        <w:t>Visual direction remains open</w:t>
      </w:r>
    </w:p>
    <w:p>
      <w:r>
        <w:t>No game theme is approved yet. Use a clear scientific workspace as a temporary planning direction: strong hierarchy, restrained decoration, readable controls and visible cause and effect. Prepare one style frame for approval before generating a full asset set. The typography of this document is not a decision about the games’ final appearance.</w:t>
      </w:r>
    </w:p>
    <w:p>
      <w:pPr>
        <w:pStyle w:val="Heading2"/>
      </w:pPr>
      <w:r>
        <w:t>Minimum access requirements</w:t>
      </w:r>
    </w:p>
    <w:p>
      <w:pPr>
        <w:pStyle w:val="ListBullet"/>
      </w:pPr>
      <w:r>
        <w:t>Every interaction works with keyboard and touch. Dragging has a select-and-place alternative; sliders have labelled number fields or step controls.</w:t>
      </w:r>
    </w:p>
    <w:p>
      <w:pPr>
        <w:pStyle w:val="ListBullet"/>
      </w:pPr>
      <w:r>
        <w:t>Use text plus shape or symbols wherever colour conveys meaning. Equations, graphs, pedigrees and route maps each have a readable text or table equivalent.</w:t>
      </w:r>
    </w:p>
    <w:p>
      <w:pPr>
        <w:pStyle w:val="ListBullet"/>
      </w:pPr>
      <w:r>
        <w:t>Controls have names, visible focus and predictable order. Feedback is available as text and announced appropriately; avoid constant screen-reader interruptions during animation.</w:t>
      </w:r>
    </w:p>
    <w:p>
      <w:pPr>
        <w:pStyle w:val="ListBullet"/>
      </w:pPr>
      <w:r>
        <w:t>Support pause, replay, step-through and reduced motion. Audio is optional, with captions/transcripts where needed. Avoid reflex requirements, flashing and unnecessary time limits.</w:t>
      </w:r>
    </w:p>
    <w:p>
      <w:pPr>
        <w:pStyle w:val="ListBullet"/>
      </w:pPr>
      <w:r>
        <w:t>Test narrow-screen reflow, text enlargement and zoom. Do not shrink scientific labels to preserve a desktop composition. Accessible alternatives must support the same reasoning task.</w:t>
      </w:r>
    </w:p>
    <w:p>
      <w:pPr>
        <w:pStyle w:val="Heading2"/>
      </w:pPr>
      <w:r>
        <w:t>Model boundaries learners must see</w:t>
      </w:r>
    </w:p>
    <w:p>
      <w:r>
        <w:t>Numbers labelled illustrative are invented teaching data, not measurements. Distinguish observations from simulation outputs. Outbreak puzzles do not predict real cases; genetic puzzles use stated simplified assumptions; collision models do not certify a safe vehicle or predict injury. A model may be useful while omitting important real-world factors.</w:t>
      </w:r>
    </w:p>
    <w:p>
      <w:pPr>
        <w:pStyle w:val="Heading2"/>
      </w:pPr>
      <w:r>
        <w:t>Evidence and review boundary</w:t>
      </w:r>
    </w:p>
    <w:p>
      <w:r>
        <w:t>Alignment uses the Alberta Science 24 program, with scientific checks from the sources listed at the end. The September 25 course review and October 1 proposed standard informed the teaching design. They are dated documents, not proof of today’s course behaviour or approval status. Current lesson integration still needs a source-by-source audit.</w:t>
      </w:r>
    </w:p>
    <w:p>
      <w:r>
        <w:br w:type="page"/>
      </w:r>
    </w:p>
    <w:p>
      <w:pPr>
        <w:pStyle w:val="Heading1"/>
      </w:pPr>
      <w:r>
        <w:t>A1  Reaction Detective</w:t>
      </w:r>
    </w:p>
    <w:p>
      <w:pPr>
        <w:pStyle w:val="Subtitle"/>
      </w:pPr>
      <w:r>
        <w:t>Unit A  Chemistry  |  Proposed first version</w:t>
      </w:r>
    </w:p>
    <w:p>
      <w:r>
        <w:rPr>
          <w:b/>
        </w:rPr>
        <w:t xml:space="preserve">Curriculum </w:t>
      </w:r>
      <w:r>
        <w:t>A general outcomes 1, 2 and 4; S1 pp. 31–32. Everyday reactions, evidence, classification and consequences.</w:t>
      </w:r>
    </w:p>
    <w:p>
      <w:r>
        <w:rPr>
          <w:b/>
        </w:rPr>
        <w:t xml:space="preserve">Learning purpose </w:t>
      </w:r>
      <w:r>
        <w:t>Explain a change from evidence and choose a defensible response. Prerequisites: reactant/product, physical versus chemical change, and the idea of a system and its surroundings.</w:t>
      </w:r>
    </w:p>
    <w:p>
      <w:r>
        <w:rPr>
          <w:b/>
        </w:rPr>
        <w:t xml:space="preserve">Core play </w:t>
      </w:r>
      <w:r>
        <w:t>Open a fictional workshop case. Choose two evidence records from a short menu, build a claim with supporting evidence, and select a response. Reveal a consequence, revise the explanation, then solve a new case. Investigation tokens limit unnecessary tests; students can restart without a penalty.</w:t>
      </w:r>
    </w:p>
    <w:p>
      <w:r>
        <w:rPr>
          <w:b/>
        </w:rPr>
        <w:t xml:space="preserve">Model and state </w:t>
      </w:r>
      <w:r>
        <w:t>Case ID; revealed records; remaining tokens; chosen claim; selected evidence; reaction labels; response; attempt stage. Records are authored observations, not live laboratory instructions. Accept overlapping classifications when chemically defensible. “Not enough evidence” must sometimes be correct.</w:t>
      </w:r>
    </w:p>
    <w:p>
      <w:r>
        <w:rPr>
          <w:b/>
        </w:rPr>
        <w:t xml:space="preserve">Progression </w:t>
      </w:r>
      <w:r>
        <w:t>Round 1 models the use of evidence. Rounds 2–3 contrast physical and chemical changes. Rounds 4–5 add decomposition, neutralization, combustion or corrosion and energy transfer. The final case removes the evidence hints.</w:t>
      </w:r>
    </w:p>
    <w:p>
      <w:r>
        <w:rPr>
          <w:b/>
        </w:rPr>
        <w:t xml:space="preserve">Worked round </w:t>
      </w:r>
      <w:r>
        <w:t>A supplied laboratory record identifies hydrogen peroxide before a reaction and water plus oxygen afterward. The mixture warms while no external heating is applied. A supported conclusion is decomposition: one reactant forms simpler products. The observed warming is consistent with energy released to the surroundings in this stated setup. New substance identities are stronger evidence than bubbles alone. This is a virtual record, not a procedure to perform.</w:t>
      </w:r>
    </w:p>
    <w:p>
      <w:r>
        <w:rPr>
          <w:b/>
        </w:rPr>
        <w:t xml:space="preserve">Fresh transfer </w:t>
      </w:r>
      <w:r>
        <w:t>Water forms bubbles while boiling; collected vapour condenses to water. Ask whether this proves a chemical reaction. Expected reasoning: the stated substance remains water and the evidence describes a change of state; bubbles alone do not establish a new substance. Award the explanation, not merely the label.</w:t>
      </w:r>
    </w:p>
    <w:p>
      <w:r>
        <w:rPr>
          <w:b/>
        </w:rPr>
        <w:t xml:space="preserve">Feedback </w:t>
      </w:r>
      <w:r>
        <w:t>“Bubbles describe an observation. Which record identifies a new substance?” If the student infers a chemical change from cooling alone, show an inconclusive dissolving case. A safe response never asks a learner to mix or smell unknown chemicals.</w:t>
      </w:r>
    </w:p>
    <w:p>
      <w:r>
        <w:rPr>
          <w:b/>
        </w:rPr>
        <w:t xml:space="preserve">Assets and access </w:t>
      </w:r>
      <w:r>
        <w:t>Five fictional case scenes, labelled evidence cards and a claim–evidence workspace. Use photographs or illustrations only for context; preserve exact records as text. Provide button-based selection and a linear evidence list.</w:t>
      </w:r>
    </w:p>
    <w:p>
      <w:r>
        <w:rPr>
          <w:b/>
        </w:rPr>
        <w:t xml:space="preserve">Success and limits </w:t>
      </w:r>
      <w:r>
        <w:t>A valid conclusion, relevant evidence and a justified response, followed by one fresh independent explanation. First version: five authored cases plus the transfer case. Excludes open-ended chemical mixing and hazardous experiment directions.</w:t>
      </w:r>
    </w:p>
    <w:p>
      <w:r>
        <w:br w:type="page"/>
      </w:r>
    </w:p>
    <w:p>
      <w:pPr>
        <w:pStyle w:val="Heading1"/>
      </w:pPr>
      <w:r>
        <w:t>A2  Atom Factory</w:t>
      </w:r>
    </w:p>
    <w:p>
      <w:pPr>
        <w:pStyle w:val="Subtitle"/>
      </w:pPr>
      <w:r>
        <w:t>Unit A  Chemistry  |  Proposed first version</w:t>
      </w:r>
    </w:p>
    <w:p>
      <w:r>
        <w:rPr>
          <w:b/>
        </w:rPr>
        <w:t xml:space="preserve">Curriculum </w:t>
      </w:r>
      <w:r>
        <w:t>A general outcomes 2 and 3; S1 pp. 31–32. Formulas, equations and element-by-element atom conservation. Scientific reference: S2.</w:t>
      </w:r>
    </w:p>
    <w:p>
      <w:r>
        <w:rPr>
          <w:b/>
        </w:rPr>
        <w:t xml:space="preserve">Learning purpose </w:t>
      </w:r>
      <w:r>
        <w:t>Make product orders by changing the numbers of whole particles while preserving each substance’s formula. Prerequisites: element symbols, subscripts and reactants/products. This is the recommended first pilot.</w:t>
      </w:r>
    </w:p>
    <w:p>
      <w:r>
        <w:rPr>
          <w:b/>
        </w:rPr>
        <w:t xml:space="preserve">Core play </w:t>
      </w:r>
      <w:r>
        <w:t>Read an order, predict the required particle counts, add or remove whole reactant/product tiles, and inspect the atom ledger. Commit a balanced arrangement, explain one element’s accounting, then repeat with fewer visual supports.</w:t>
      </w:r>
    </w:p>
    <w:p>
      <w:r>
        <w:rPr>
          <w:b/>
        </w:rPr>
        <w:t xml:space="preserve">Model and state </w:t>
      </w:r>
      <w:r>
        <w:t>Reaction ID; fixed formula dictionary; integer coefficients; per-element counts on each side; target product count; hints; attempt stage. The validator compares each element separately. A balanced multiple is chemically valid; a separate prompt may request the smallest whole-number ratio.</w:t>
      </w:r>
    </w:p>
    <w:p>
      <w:r>
        <w:rPr>
          <w:b/>
        </w:rPr>
        <w:t xml:space="preserve">Progression </w:t>
      </w:r>
      <w:r>
        <w:t>Begin with visible atoms and one element to repair. Move to two and three elements, then hide the tiles while leaving an optional ledger. End with a typed equation and a short explanation. Formula editing is disabled during balancing.</w:t>
      </w:r>
    </w:p>
    <w:p>
      <w:r>
        <w:rPr>
          <w:b/>
        </w:rPr>
        <w:t xml:space="preserve">Worked round </w:t>
      </w:r>
      <w:r>
        <w:t>Order: form four water molecules. Select four H₂ molecules and two O₂ molecules to form four H₂O molecules. Count eight H atoms and four O atoms on both sides. This production batch is balanced. The smallest coefficient ratio is 2H₂ + O₂ → 2H₂O. Explain why changing H₂O to H₂O₂ would change the product rather than balance the original reaction.</w:t>
      </w:r>
    </w:p>
    <w:p>
      <w:r>
        <w:rPr>
          <w:b/>
        </w:rPr>
        <w:t xml:space="preserve">Fresh transfer </w:t>
      </w:r>
      <w:r>
        <w:t>Balance N₂ + H₂ → NH₃ without particle tiles. Expected answer: N₂ + 3H₂ → 2NH₃, with two N atoms and six H atoms on each side. Accept equivalent balanced multiples, then ask for simplest form if required. This accounting model does not simulate reaction conditions or yield.</w:t>
      </w:r>
    </w:p>
    <w:p>
      <w:r>
        <w:rPr>
          <w:b/>
        </w:rPr>
        <w:t xml:space="preserve">Feedback </w:t>
      </w:r>
      <w:r>
        <w:t>For N₂ + H₂ → 2NH₃: “Nitrogen balances. Products contain six hydrogen atoms; the reactant side has two. Which whole-particle count could change?” Do not award success for equal total atoms when individual elements differ.</w:t>
      </w:r>
    </w:p>
    <w:p>
      <w:r>
        <w:rPr>
          <w:b/>
        </w:rPr>
        <w:t xml:space="preserve">Assets and access </w:t>
      </w:r>
      <w:r>
        <w:t>Deterministic atom and molecule tiles, a formula line and a two-sided ledger. Use element letters and shapes as well as colour. Every drag action needs select-and-place buttons and an accessible textual count.</w:t>
      </w:r>
    </w:p>
    <w:p>
      <w:r>
        <w:rPr>
          <w:b/>
        </w:rPr>
        <w:t xml:space="preserve">Success and limits </w:t>
      </w:r>
      <w:r>
        <w:t>Correct particle arrangement, correct coefficient ratio and a new equation solved with explanation. First version: six pre-checked equations, including one decomposition and one combustion example. Excludes moles, limiting reagents, reaction rates and an unrestricted formula parser.</w:t>
      </w:r>
    </w:p>
    <w:p>
      <w:r>
        <w:br w:type="page"/>
      </w:r>
    </w:p>
    <w:p>
      <w:pPr>
        <w:pStyle w:val="Heading1"/>
      </w:pPr>
      <w:r>
        <w:t>B1  Energy Chain Rescue</w:t>
      </w:r>
    </w:p>
    <w:p>
      <w:pPr>
        <w:pStyle w:val="Subtitle"/>
      </w:pPr>
      <w:r>
        <w:t>Unit B  Energy  |  Proposed first version</w:t>
      </w:r>
    </w:p>
    <w:p>
      <w:r>
        <w:rPr>
          <w:b/>
        </w:rPr>
        <w:t xml:space="preserve">Curriculum </w:t>
      </w:r>
      <w:r>
        <w:t>B general outcomes 1–3; S1 pp. 36–37. Energy pathways, converters, useful output and biological energy change; selected generation contexts from outcome 2.</w:t>
      </w:r>
    </w:p>
    <w:p>
      <w:r>
        <w:rPr>
          <w:b/>
        </w:rPr>
        <w:t xml:space="preserve">Learning purpose </w:t>
      </w:r>
      <w:r>
        <w:t>Repair a pathway so a device or organism can fulfil a stated purpose, while accounting for all the supplied energy. Prerequisites: common energy forms and the distinction between energy, matter and a converter.</w:t>
      </w:r>
    </w:p>
    <w:p>
      <w:r>
        <w:rPr>
          <w:b/>
        </w:rPr>
        <w:t xml:space="preserve">Core play </w:t>
      </w:r>
      <w:r>
        <w:t>Choose a mission, connect source–converter–output tiles, predict the useful result, and route the remaining energy to labelled outputs. Run the animated account, inspect the failure point, repair the chain, then construct an unfamiliar pathway.</w:t>
      </w:r>
    </w:p>
    <w:p>
      <w:r>
        <w:rPr>
          <w:b/>
        </w:rPr>
        <w:t xml:space="preserve">Model and state </w:t>
      </w:r>
      <w:r>
        <w:t>Scenario ID; ordered nodes; permitted connections; input energy; output allocations; declared useful purpose; prediction and explanation. Energy values are authored illustrative data. The ledger must balance at each converter and for the whole system. The same output may be useful for one purpose and unwanted for another.</w:t>
      </w:r>
    </w:p>
    <w:p>
      <w:r>
        <w:rPr>
          <w:b/>
        </w:rPr>
        <w:t xml:space="preserve">Progression </w:t>
      </w:r>
      <w:r>
        <w:t>Start with one electrical device. Add a generator and a second conversion. Then use a qualitatively labelled food–respiration–movement pathway and a photosynthesis pathway. Matter inputs/outputs remain separate from energy arrows. Plants also respire.</w:t>
      </w:r>
    </w:p>
    <w:p>
      <w:r>
        <w:rPr>
          <w:b/>
        </w:rPr>
        <w:t xml:space="preserve">Worked round </w:t>
      </w:r>
      <w:r>
        <w:t>A fictional generator receives 200 J of motion-related input. It transfers 150 J electrically and 50 J thermally. A lamp receiving the 150 J emits 45 J as useful light and 105 J to heating. Whole-system accounting is 200 J = 45 J + 155 J. The energy was transferred into less useful forms for lighting; it did not vanish.</w:t>
      </w:r>
    </w:p>
    <w:p>
      <w:r>
        <w:rPr>
          <w:b/>
        </w:rPr>
        <w:t xml:space="preserve">Fresh transfer </w:t>
      </w:r>
      <w:r>
        <w:t>A fictional motor receives 1,200 J electrically and provides 450 J of useful motion. Route and label the remaining 750 J as the supplied model’s thermal output; explain the complete account. Extension: useful fraction is 450/1,200 = 37.5%. No real motor specification is implied.</w:t>
      </w:r>
    </w:p>
    <w:p>
      <w:r>
        <w:rPr>
          <w:b/>
        </w:rPr>
        <w:t xml:space="preserve">Feedback </w:t>
      </w:r>
      <w:r>
        <w:t>“Your second converter receives 150 J, not the original 200 J.” For a food-to-movement chain, distinguish matter transformation from energy transfer. Do not teach that food atoms become energy or that a generator creates energy from nothing.</w:t>
      </w:r>
    </w:p>
    <w:p>
      <w:r>
        <w:rPr>
          <w:b/>
        </w:rPr>
        <w:t xml:space="preserve">Assets and access </w:t>
      </w:r>
      <w:r>
        <w:t>Source and converter tiles, labelled connections and proportional energy bars. Use exact SVG/DOM labels and values; contextual art stays behind the model. Offer an ordered-list editor and a text account equivalent to animation.</w:t>
      </w:r>
    </w:p>
    <w:p>
      <w:r>
        <w:rPr>
          <w:b/>
        </w:rPr>
        <w:t xml:space="preserve">Success and limits </w:t>
      </w:r>
      <w:r>
        <w:t>A functioning chain, complete output accounting and an explanation transferred to a new converter. First version: five authored technological/biological chains. Fossil-fuel formation, extraction and environmental trade-offs remain lesson work or later cases, not claimed coverage here.</w:t>
      </w:r>
    </w:p>
    <w:p>
      <w:r>
        <w:br w:type="page"/>
      </w:r>
    </w:p>
    <w:p>
      <w:pPr>
        <w:pStyle w:val="Heading1"/>
      </w:pPr>
      <w:r>
        <w:t>B2  Power Budget Challenge</w:t>
      </w:r>
    </w:p>
    <w:p>
      <w:pPr>
        <w:pStyle w:val="Subtitle"/>
      </w:pPr>
      <w:r>
        <w:t>Unit B  Energy  |  Proposed first version</w:t>
      </w:r>
    </w:p>
    <w:p>
      <w:r>
        <w:rPr>
          <w:b/>
        </w:rPr>
        <w:t xml:space="preserve">Curriculum </w:t>
      </w:r>
      <w:r>
        <w:t>B general outcome 2; S1 p. 37. Energy use, power, efficiency and household decisions. Unit reference: S3.</w:t>
      </w:r>
    </w:p>
    <w:p>
      <w:r>
        <w:rPr>
          <w:b/>
        </w:rPr>
        <w:t xml:space="preserve">Learning purpose </w:t>
      </w:r>
      <w:r>
        <w:t>Provide required services in a fictional community centre within an energy limit. Prerequisites: multiplication, hours, watts/kilowatts and useful output. All device specifications and service equivalences are supplied scenario assumptions.</w:t>
      </w:r>
    </w:p>
    <w:p>
      <w:r>
        <w:rPr>
          <w:b/>
        </w:rPr>
        <w:t xml:space="preserve">Core play </w:t>
      </w:r>
      <w:r>
        <w:t>Read the service requirements, choose equipment and permitted operating times, predict consumption, and submit a plan. The dashboard checks both service delivery and energy. Repair the largest problem, then tackle a new equipment set.</w:t>
      </w:r>
    </w:p>
    <w:p>
      <w:r>
        <w:rPr>
          <w:b/>
        </w:rPr>
        <w:t xml:space="preserve">Model and state </w:t>
      </w:r>
      <w:r>
        <w:t>Device counts; power ratings; operating hours; service constraints; energy cap; input/output figures for efficiency cases; typed totals; feedback stage. Calculate E = P × t using compatible units. In efficiency rounds, calculate useful output divided by input × 100. Rated power is treated as constant only when the scenario says so.</w:t>
      </w:r>
    </w:p>
    <w:p>
      <w:r>
        <w:rPr>
          <w:b/>
        </w:rPr>
        <w:t xml:space="preserve">Progression </w:t>
      </w:r>
      <w:r>
        <w:t>Begin with one device and a unit conversion. Add multiple loads and a compulsory service floor. Later compare equal-service options and a supplied efficiency account. The final round requires both a calculation and a decision explanation.</w:t>
      </w:r>
    </w:p>
    <w:p>
      <w:r>
        <w:rPr>
          <w:b/>
        </w:rPr>
        <w:t xml:space="preserve">Worked round </w:t>
      </w:r>
      <w:r>
        <w:t>Four 10 W lamps operate for 5 h, and a 60 W fan for 4 h. Lighting uses 4 × 10 × 5 = 200 Wh = 0.20 kWh. The fan uses 240 Wh = 0.24 kWh. Total: 0.44 kWh, meeting a 0.50 kWh cap. Four 40 W lamps providing the same stated lighting service would raise the total to 1.04 kWh.</w:t>
      </w:r>
    </w:p>
    <w:p>
      <w:r>
        <w:rPr>
          <w:b/>
        </w:rPr>
        <w:t xml:space="preserve">Fresh transfer </w:t>
      </w:r>
      <w:r>
        <w:t>Three 12 W lamps must run 4 h, and a 180 W projector 1.5 h. Total: 0.144 + 0.270 = 0.414 kWh, above a 0.400 kWh limit. An offered 150 W projector delivers the same stated service: 0.144 + 0.225 = 0.369 kWh. Shortening a compulsory session is not a valid solution.</w:t>
      </w:r>
    </w:p>
    <w:p>
      <w:r>
        <w:rPr>
          <w:b/>
        </w:rPr>
        <w:t xml:space="preserve">Feedback </w:t>
      </w:r>
      <w:r>
        <w:t>“You entered watts where the answer needs kilowatt-hours. Convert power and include time.” Turning everything off fails the service floor. Lower wattage alone does not establish greater efficiency without comparing useful output.</w:t>
      </w:r>
    </w:p>
    <w:p>
      <w:r>
        <w:rPr>
          <w:b/>
        </w:rPr>
        <w:t xml:space="preserve">Assets and access </w:t>
      </w:r>
      <w:r>
        <w:t>Six fictional device cards, time controls, service checklist and stacked consumption display. Typed inputs and step controls must work without sliders. Give totals and units in text; avoid a colour-only budget gauge.</w:t>
      </w:r>
    </w:p>
    <w:p>
      <w:r>
        <w:rPr>
          <w:b/>
        </w:rPr>
        <w:t xml:space="preserve">Success and limits </w:t>
      </w:r>
      <w:r>
        <w:t>Required services met, valid unit-aware calculations, cap respected and a justified new plan. First version: three daily missions plus one efficiency micro-case: 900 J useful from 1,500 J input gives 60%. Excludes real tariffs, household bill collection and purchasing advice.</w:t>
      </w:r>
    </w:p>
    <w:p>
      <w:r>
        <w:br w:type="page"/>
      </w:r>
    </w:p>
    <w:p>
      <w:pPr>
        <w:pStyle w:val="Heading1"/>
      </w:pPr>
      <w:r>
        <w:t>C1  Break the Chain</w:t>
      </w:r>
    </w:p>
    <w:p>
      <w:pPr>
        <w:pStyle w:val="Subtitle"/>
      </w:pPr>
      <w:r>
        <w:t>Unit C  Health  |  Proposed first version</w:t>
      </w:r>
    </w:p>
    <w:p>
      <w:r>
        <w:rPr>
          <w:b/>
        </w:rPr>
        <w:t xml:space="preserve">Curriculum </w:t>
      </w:r>
      <w:r>
        <w:t>C general outcomes 1–3 and 5; S1 pp. 42–43. Transmission, prevention, body defences and community health. Scientific references: S4–S5.</w:t>
      </w:r>
    </w:p>
    <w:p>
      <w:r>
        <w:rPr>
          <w:b/>
        </w:rPr>
        <w:t xml:space="preserve">Learning purpose </w:t>
      </w:r>
      <w:r>
        <w:t>Use route evidence to place appropriate prevention measures and explain what each interrupts. Prerequisites: pathogen, transmission route and host. Infectious, environmental and inherited causes must remain distinct.</w:t>
      </w:r>
    </w:p>
    <w:p>
      <w:r>
        <w:rPr>
          <w:b/>
        </w:rPr>
        <w:t xml:space="preserve">Core play </w:t>
      </w:r>
      <w:r>
        <w:t>Inspect an invented route map, read the supplied evidence, allocate two prevention cards, and predict which routes remain. Run a causal replay, explain the result, then revise. Later cases connect external prevention to innate/adaptive defence and vaccination concepts.</w:t>
      </w:r>
    </w:p>
    <w:p>
      <w:r>
        <w:rPr>
          <w:b/>
        </w:rPr>
        <w:t xml:space="preserve">Model and state </w:t>
      </w:r>
      <w:r>
        <w:t>Authored nodes and routes; case evidence; prevention-card placements; token costs; remaining routes; defence explanation; stage. The first version is a deterministic route puzzle, not an epidemiological forecast. A blocked route means the card matches the route in this model, not zero real-world infection risk. Costs are gameplay values.</w:t>
      </w:r>
    </w:p>
    <w:p>
      <w:r>
        <w:rPr>
          <w:b/>
        </w:rPr>
        <w:t xml:space="preserve">Progression </w:t>
      </w:r>
      <w:r>
        <w:t>Start with one explicit contact route. Add a second route and a constrained choice. Introduce respiratory spread and layered measures. A final defence task locates immune memory within adaptive immunity; vaccination prepares a response and is not an instant cure.</w:t>
      </w:r>
    </w:p>
    <w:p>
      <w:r>
        <w:rPr>
          <w:b/>
        </w:rPr>
        <w:t xml:space="preserve">Worked round </w:t>
      </w:r>
      <w:r>
        <w:t>An invented food-handling case explicitly supplies two routes: raw-food residue → shared board → ready-to-eat salad, and contaminated hands → salad. Students place a separate clean equipment card on the first route and a hand-hygiene card on the second. They explain why addressing only the board leaves the hand route unresolved. The replay represents route reasoning, not measured prevention effectiveness.</w:t>
      </w:r>
    </w:p>
    <w:p>
      <w:r>
        <w:rPr>
          <w:b/>
        </w:rPr>
        <w:t xml:space="preserve">Fresh transfer </w:t>
      </w:r>
      <w:r>
        <w:t>In a supplied indoor respiratory case, the evidence identifies shared air as an important route. Students choose improved ventilation and source-reducing behaviour such as staying home when ill, and explain why cleaning one table does not address every stated route. Accept other evidence-supported combinations; do not pretend one universal package fits every pathogen.</w:t>
      </w:r>
    </w:p>
    <w:p>
      <w:r>
        <w:rPr>
          <w:b/>
        </w:rPr>
        <w:t xml:space="preserve">Feedback </w:t>
      </w:r>
      <w:r>
        <w:t>“You selected a useful precaution, but which route does it address in this case?” Explain that antibiotics do not treat viral infections, without asking students to choose drugs or doses. Distinguish prevention, treatment and immune memory.</w:t>
      </w:r>
    </w:p>
    <w:p>
      <w:r>
        <w:rPr>
          <w:b/>
        </w:rPr>
        <w:t xml:space="preserve">Assets and access </w:t>
      </w:r>
      <w:r>
        <w:t>Three fictional settings, route arrows, prevention cards and a small labelled defence map. Use abstract people without health profiles. Provide the full map as a navigable list and a text replay; no flashing spread animation.</w:t>
      </w:r>
    </w:p>
    <w:p>
      <w:r>
        <w:rPr>
          <w:b/>
        </w:rPr>
        <w:t xml:space="preserve">Success and limits </w:t>
      </w:r>
      <w:r>
        <w:t>Evidence-based placements, explanation of a remaining route and a fresh defence/transfer response. First version: three route cases and one immunity sequence. Excludes diagnosis, outbreak prediction, vaccine schedules, treatment decisions and real school contact data.</w:t>
      </w:r>
    </w:p>
    <w:p>
      <w:r>
        <w:br w:type="page"/>
      </w:r>
    </w:p>
    <w:p>
      <w:pPr>
        <w:pStyle w:val="Heading1"/>
      </w:pPr>
      <w:r>
        <w:t>C2  Inheritance Detective</w:t>
      </w:r>
    </w:p>
    <w:p>
      <w:pPr>
        <w:pStyle w:val="Subtitle"/>
      </w:pPr>
      <w:r>
        <w:t>Unit C  Health  |  Proposed first version</w:t>
      </w:r>
    </w:p>
    <w:p>
      <w:r>
        <w:rPr>
          <w:b/>
        </w:rPr>
        <w:t xml:space="preserve">Curriculum </w:t>
      </w:r>
      <w:r>
        <w:t>C general outcome 4; S1 p. 43. Simple autosomal inheritance, Punnett squares and pedigrees. Probability reference: S6.</w:t>
      </w:r>
    </w:p>
    <w:p>
      <w:r>
        <w:rPr>
          <w:b/>
        </w:rPr>
        <w:t xml:space="preserve">Learning purpose </w:t>
      </w:r>
      <w:r>
        <w:t>Use a fictional pedigree to determine possible allele combinations and explain what the evidence cannot establish. Prerequisites: gene/allele, genotype/phenotype, and a clearly stated dominant/recessive model.</w:t>
      </w:r>
    </w:p>
    <w:p>
      <w:r>
        <w:rPr>
          <w:b/>
        </w:rPr>
        <w:t xml:space="preserve">Core play </w:t>
      </w:r>
      <w:r>
        <w:t>Read the model assumptions, place possible genotypes on family members, eliminate contradictions, and construct a Punnett square. Predict possible offspring outcomes, explain the probability, then solve an unfamiliar case with incomplete information.</w:t>
      </w:r>
    </w:p>
    <w:p>
      <w:r>
        <w:rPr>
          <w:b/>
        </w:rPr>
        <w:t xml:space="preserve">Model and state </w:t>
      </w:r>
      <w:r>
        <w:t>Fictional pedigree; known phenotypes/genotypes; possible genotype sets; parental gametes; square entries; probability claims; attempt stage. Assume one autosomal locus, complete dominance and full penetrance only for these authored puzzles. Preserve multiple valid solutions; never force certainty where evidence is insufficient.</w:t>
      </w:r>
    </w:p>
    <w:p>
      <w:r>
        <w:rPr>
          <w:b/>
        </w:rPr>
        <w:t xml:space="preserve">Progression </w:t>
      </w:r>
      <w:r>
        <w:t>Start with a supplied parental cross. Then infer a missing genotype from an offspring. Finally distinguish a definite result from a range of possible crosses. Optional sampling may illustrate variation later; exact probability remains visible and is not estimated from four simulated births.</w:t>
      </w:r>
    </w:p>
    <w:p>
      <w:r>
        <w:rPr>
          <w:b/>
        </w:rPr>
        <w:t xml:space="preserve">Worked round </w:t>
      </w:r>
      <w:r>
        <w:t>In a fictional fully dominant A/recessive a model, two dominant-phenotype parents have a recessive-phenotype child. The child is aa, so each parent supplied a. Both parents must therefore be Aa. Aa × Aa gives AA, Aa, Aa and aa: 25% AA, 50% Aa, 25% aa; 75% dominant phenotype and 25% recessive phenotype per offspring.</w:t>
      </w:r>
    </w:p>
    <w:p>
      <w:r>
        <w:rPr>
          <w:b/>
        </w:rPr>
        <w:t xml:space="preserve">Fresh transfer </w:t>
      </w:r>
      <w:r>
        <w:t>One parent is aa. The other has the dominant phenotype but no further information. That parent could be AA or Aa. The recessive-phenotype probability is therefore either 0% or 50%, depending on the unknown genotype. A single percentage is not justified. Prior offspring do not make a particular next outcome “due.”</w:t>
      </w:r>
    </w:p>
    <w:p>
      <w:r>
        <w:rPr>
          <w:b/>
        </w:rPr>
        <w:t xml:space="preserve">Feedback </w:t>
      </w:r>
      <w:r>
        <w:t>“A dominant phenotype does not identify AA rather than Aa.” If the learner predicts exactly one recessive child in every four, contrast probability with a guaranteed family count. Never equate dominant with common, stronger, better or healthier.</w:t>
      </w:r>
    </w:p>
    <w:p>
      <w:r>
        <w:rPr>
          <w:b/>
        </w:rPr>
        <w:t xml:space="preserve">Assets and access </w:t>
      </w:r>
      <w:r>
        <w:t>Two clearly drawn fictional pedigrees, allele tiles, an editable square and an evidence panel. Pair symbols with text labels; make family relationships readable at phone width through a structured list alternative. No personal family-tree task.</w:t>
      </w:r>
    </w:p>
    <w:p>
      <w:r>
        <w:rPr>
          <w:b/>
        </w:rPr>
        <w:t xml:space="preserve">Success and limits </w:t>
      </w:r>
      <w:r>
        <w:t>All genotype constraints satisfied, a correct cross and an honest uncertainty explanation on the fresh case. First version: four cross/pedigree puzzles. Recheck every pedigree from source; do not reuse the earlier flagged example without verification. Excludes complex human traits, genetic diagnosis and family-data collection.</w:t>
      </w:r>
    </w:p>
    <w:p>
      <w:r>
        <w:br w:type="page"/>
      </w:r>
    </w:p>
    <w:p>
      <w:pPr>
        <w:pStyle w:val="Heading1"/>
      </w:pPr>
      <w:r>
        <w:t>D1  Safe Stop Challenge</w:t>
      </w:r>
    </w:p>
    <w:p>
      <w:pPr>
        <w:pStyle w:val="Subtitle"/>
      </w:pPr>
      <w:r>
        <w:t>Unit D  Motion and safety  |  Proposed first version</w:t>
      </w:r>
    </w:p>
    <w:p>
      <w:r>
        <w:rPr>
          <w:b/>
        </w:rPr>
        <w:t xml:space="preserve">Curriculum </w:t>
      </w:r>
      <w:r>
        <w:t>D general outcomes 1 and 2; S1 p. 48. Reaction travel, speed, distance, time and graphs.</w:t>
      </w:r>
    </w:p>
    <w:p>
      <w:r>
        <w:rPr>
          <w:b/>
        </w:rPr>
        <w:t xml:space="preserve">Learning purpose </w:t>
      </w:r>
      <w:r>
        <w:t>Predict stopping location and explain the separate contributions of reaction travel and braking. Prerequisites: metres, seconds, speed and graph axes. The first prototype uses a stationary obstacle; it does not claim a validated two-vehicle following model.</w:t>
      </w:r>
    </w:p>
    <w:p>
      <w:r>
        <w:rPr>
          <w:b/>
        </w:rPr>
        <w:t xml:space="preserve">Core play </w:t>
      </w:r>
      <w:r>
        <w:t>Choose a supplied speed/reaction scenario and starting gap, predict reaction distance and total stop, then run a slow replay. Compare the distance–time trace, repair the plan, and justify a new case. Students do not need quick clicking or actual driving skill.</w:t>
      </w:r>
    </w:p>
    <w:p>
      <w:r>
        <w:rPr>
          <w:b/>
        </w:rPr>
        <w:t xml:space="preserve">Model and state </w:t>
      </w:r>
      <w:r>
        <w:t>Initial speed; scripted reaction time; obstacle gap; supplied braking-distance lookup; distance prediction; plotted points; explanation. Reaction distance = speed × reaction time. Total stopping distance adds the provided braking distance. Use a consistent constant-deceleration model behind the lookup and graph; do not apply initial speed × full braking time to braking travel.</w:t>
      </w:r>
    </w:p>
    <w:p>
      <w:r>
        <w:rPr>
          <w:b/>
        </w:rPr>
        <w:t xml:space="preserve">Progression </w:t>
      </w:r>
      <w:r>
        <w:t>Begin with reaction travel only. Add a supplied braking distance, then compare gaps and interpret graph slope. Later change one condition at a time using labelled data. The final mission removes worked arithmetic but retains all needed data.</w:t>
      </w:r>
    </w:p>
    <w:p>
      <w:r>
        <w:rPr>
          <w:b/>
        </w:rPr>
        <w:t xml:space="preserve">Worked round </w:t>
      </w:r>
      <w:r>
        <w:t>At 20 m/s with a 1.5 s reaction time, reaction travel is 30 m. Supplied braking distance is 40 m. Total stop is 70 m; an obstacle 80 m away leaves 10 m in this model. For the graph, braking lasts 4 s with speed decreasing uniformly to zero: the curve becomes horizontal at 5.5 s and 70 m.</w:t>
      </w:r>
    </w:p>
    <w:p>
      <w:r>
        <w:rPr>
          <w:b/>
        </w:rPr>
        <w:t xml:space="preserve">Fresh transfer </w:t>
      </w:r>
      <w:r>
        <w:t>At 25 m/s with a 1.2 s reaction time, reaction travel is 30 m. Supplied braking distance is 62.5 m. Total is 92.5 m, exceeding an 85 m gap by 7.5 m. Explain why a shorter reaction time alone did not make this scenario stop sooner.</w:t>
      </w:r>
    </w:p>
    <w:p>
      <w:r>
        <w:rPr>
          <w:b/>
        </w:rPr>
        <w:t xml:space="preserve">Feedback </w:t>
      </w:r>
      <w:r>
        <w:t>“You found reaction distance, not total stopping distance.” For graph errors: slope represents speed; a horizontal distance–time segment means stopped. All sample braking data assume the same constant deceleration of 5 m/s², not measured road performance.</w:t>
      </w:r>
    </w:p>
    <w:p>
      <w:r>
        <w:rPr>
          <w:b/>
        </w:rPr>
        <w:t xml:space="preserve">Assets and access </w:t>
      </w:r>
      <w:r>
        <w:t>Side-view road, labelled vehicle/obstacle markers, distance ruler and synchronized graph. Provide table and text replay equivalents. Animation pauses and steps; no sound-dependent warnings, reflex scoring or graphic collisions.</w:t>
      </w:r>
    </w:p>
    <w:p>
      <w:r>
        <w:rPr>
          <w:b/>
        </w:rPr>
        <w:t xml:space="preserve">Success and limits </w:t>
      </w:r>
      <w:r>
        <w:t>Correct distances and units, a consistent graph interpretation and a justified transfer answer. First version: four scenarios plus transfer. Educational margins are not safe-driving certification. Excludes legal following-distance advice, real reaction-time assessment and weather-specific predictions.</w:t>
      </w:r>
    </w:p>
    <w:p>
      <w:r>
        <w:br w:type="page"/>
      </w:r>
    </w:p>
    <w:p>
      <w:pPr>
        <w:pStyle w:val="Heading1"/>
      </w:pPr>
      <w:r>
        <w:t>D2  Crash-Test Studio</w:t>
      </w:r>
    </w:p>
    <w:p>
      <w:pPr>
        <w:pStyle w:val="Subtitle"/>
      </w:pPr>
      <w:r>
        <w:t>Unit D  Motion and safety  |  Proposed first version</w:t>
      </w:r>
    </w:p>
    <w:p>
      <w:r>
        <w:rPr>
          <w:b/>
        </w:rPr>
        <w:t xml:space="preserve">Curriculum </w:t>
      </w:r>
      <w:r>
        <w:t>D general outcomes 3 and 4; S1 p. 49. Momentum, impulse, collision duration and protection. Scientific references: S7–S8.</w:t>
      </w:r>
    </w:p>
    <w:p>
      <w:r>
        <w:rPr>
          <w:b/>
        </w:rPr>
        <w:t xml:space="preserve">Learning purpose </w:t>
      </w:r>
      <w:r>
        <w:t>Predict how a fixed momentum change delivered over different times affects average force. A linked cart test applies momentum conservation. Prerequisites: mass, signed velocity, momentum and a system boundary.</w:t>
      </w:r>
    </w:p>
    <w:p>
      <w:r>
        <w:rPr>
          <w:b/>
        </w:rPr>
        <w:t xml:space="preserve">Core play </w:t>
      </w:r>
      <w:r>
        <w:t>Select a supplied test fixture, predict the result, change one permitted parameter, and compare controlled runs. Use slow replay and numerical evidence to justify a design choice. Repeat with a new mass/speed case; the optional cart scene uses the same predict–test–explain structure.</w:t>
      </w:r>
    </w:p>
    <w:p>
      <w:r>
        <w:rPr>
          <w:b/>
        </w:rPr>
        <w:t xml:space="preserve">Model and state </w:t>
      </w:r>
      <w:r>
        <w:t>Selected model; mass; initial/final velocity; supplied stopping duration; momentum change; average-force prediction; cart masses/velocities; stage. Occupant stopping and the two-cart system have separate ledgers. Favg = Δp/Δt gives signed average net force; report magnitude for comparison and direction in the explanation.</w:t>
      </w:r>
    </w:p>
    <w:p>
      <w:r>
        <w:rPr>
          <w:b/>
        </w:rPr>
        <w:t xml:space="preserve">Progression </w:t>
      </w:r>
      <w:r>
        <w:t>Start with equal mass and momentum change while changing duration. Add a new mass/speed case. Then use two low-friction carts that lock together, conserving combined momentum when external impulse is negligible. Do not imply kinetic energy is conserved in the locking collision.</w:t>
      </w:r>
    </w:p>
    <w:p>
      <w:r>
        <w:rPr>
          <w:b/>
        </w:rPr>
        <w:t xml:space="preserve">Worked round </w:t>
      </w:r>
      <w:r>
        <w:t>A 60 kg model occupant slows from +20 m/s to rest: Δp = −1,200 kg·m/s. Over 0.06 s, average force is −20,000 N; over 0.15 s, −8,000 N. Both have the same impulse. The longer supplied stop reduces the force magnitude in this model. It does not establish an injury risk or a certified restraint design.</w:t>
      </w:r>
    </w:p>
    <w:p>
      <w:r>
        <w:rPr>
          <w:b/>
        </w:rPr>
        <w:t xml:space="preserve">Fresh transfer </w:t>
      </w:r>
      <w:r>
        <w:t>A 50 kg model occupant slows from +16 m/s to rest. Δp = −800 kg·m/s. At 0.08 s the average force is −10,000 N; at 0.16 s it is −5,000 N. Explain the relationship. Cart check: 2 kg at +3 m/s locks to 1 kg at rest; 6 kg·m/s shared by 3 kg gives +2 m/s.</w:t>
      </w:r>
    </w:p>
    <w:p>
      <w:r>
        <w:rPr>
          <w:b/>
        </w:rPr>
        <w:t xml:space="preserve">Feedback </w:t>
      </w:r>
      <w:r>
        <w:t>“Longer time changes average force here, not the required momentum change.” Reject an answer that assigns the car’s entire mass to an occupant calculation. Average force is not automatically peak force. Body injury cannot be inferred from this one quantity.</w:t>
      </w:r>
    </w:p>
    <w:p>
      <w:r>
        <w:rPr>
          <w:b/>
        </w:rPr>
        <w:t xml:space="preserve">Assets and access </w:t>
      </w:r>
      <w:r>
        <w:t>Abstract occupant/fixture silhouette, two carts, separate ledgers and exact force/time displays. Use a stated constant-force approximation if drawing rectangles; do not imply a measured crash pulse. Include typed controls, text summaries and reduced motion.</w:t>
      </w:r>
    </w:p>
    <w:p>
      <w:r>
        <w:rPr>
          <w:b/>
        </w:rPr>
        <w:t xml:space="preserve">Success and limits </w:t>
      </w:r>
      <w:r>
        <w:t>Correct signed accounting, controlled comparison and a new explanation. First version: three stopping fixtures and one cart case. Excludes crash certification, injury thresholds, realistic biomechanics and free-form vehicle engineering.</w:t>
      </w:r>
    </w:p>
    <w:p>
      <w:r>
        <w:br w:type="page"/>
      </w:r>
    </w:p>
    <w:p>
      <w:pPr>
        <w:pStyle w:val="Heading1"/>
      </w:pPr>
      <w:r>
        <w:t>Production priorities and project structure</w:t>
      </w:r>
    </w:p>
    <w:p>
      <w:pPr>
        <w:pStyle w:val="Heading2"/>
      </w:pPr>
      <w:r>
        <w:t>Suggested sequence</w:t>
      </w:r>
    </w:p>
    <w:tbl>
      <w:tblPr>
        <w:tblW w:type="auto" w:w="0"/>
        <w:tblLayout w:type="fixed"/>
        <w:tblLook w:firstColumn="1" w:firstRow="1" w:lastColumn="0" w:lastRow="0" w:noHBand="0" w:noVBand="1" w:val="04A0"/>
      </w:tblPr>
      <w:tblGrid>
        <w:gridCol w:w="648"/>
        <w:gridCol w:w="3384"/>
        <w:gridCol w:w="6048"/>
      </w:tblGrid>
      <w:tr>
        <w:trPr>
          <w:cantSplit/>
          <w:tblHeader/>
        </w:trPr>
        <w:tc>
          <w:tcPr>
            <w:tcW w:type="dxa" w:w="648"/>
            <w:tcBorders>
              <w:top w:val="single" w:sz="4" w:color="D9D9D9"/>
              <w:left w:val="single" w:sz="4" w:color="D9D9D9"/>
              <w:bottom w:val="single" w:sz="4" w:color="D9D9D9"/>
              <w:right w:val="single" w:sz="4" w:color="D9D9D9"/>
            </w:tcBorders>
            <w:tcMar>
              <w:top w:w="75" w:type="dxa"/>
              <w:left w:w="75" w:type="dxa"/>
              <w:bottom w:w="75" w:type="dxa"/>
              <w:right w:w="75" w:type="dxa"/>
            </w:tcMar>
            <w:shd w:fill="24485E"/>
            <w:vAlign w:val="center"/>
          </w:tcPr>
          <w:p>
            <w:pPr>
              <w:spacing w:after="20" w:before="20"/>
            </w:pPr>
            <w:r>
              <w:rPr>
                <w:b/>
                <w:color w:val="FFFFFF"/>
                <w:sz w:val="19"/>
              </w:rPr>
              <w:t>Stage</w:t>
            </w:r>
          </w:p>
        </w:tc>
        <w:tc>
          <w:tcPr>
            <w:tcW w:type="dxa" w:w="3384"/>
            <w:tcBorders>
              <w:top w:val="single" w:sz="4" w:color="D9D9D9"/>
              <w:left w:val="single" w:sz="4" w:color="D9D9D9"/>
              <w:bottom w:val="single" w:sz="4" w:color="D9D9D9"/>
              <w:right w:val="single" w:sz="4" w:color="D9D9D9"/>
            </w:tcBorders>
            <w:tcMar>
              <w:top w:w="75" w:type="dxa"/>
              <w:left w:w="75" w:type="dxa"/>
              <w:bottom w:w="75" w:type="dxa"/>
              <w:right w:w="75" w:type="dxa"/>
            </w:tcMar>
            <w:shd w:fill="24485E"/>
            <w:vAlign w:val="center"/>
          </w:tcPr>
          <w:p>
            <w:pPr>
              <w:spacing w:after="20" w:before="20"/>
            </w:pPr>
            <w:r>
              <w:rPr>
                <w:b/>
                <w:color w:val="FFFFFF"/>
                <w:sz w:val="19"/>
              </w:rPr>
              <w:t>Deliverable</w:t>
            </w:r>
          </w:p>
        </w:tc>
        <w:tc>
          <w:tcPr>
            <w:tcW w:type="dxa" w:w="6048"/>
            <w:tcBorders>
              <w:top w:val="single" w:sz="4" w:color="D9D9D9"/>
              <w:left w:val="single" w:sz="4" w:color="D9D9D9"/>
              <w:bottom w:val="single" w:sz="4" w:color="D9D9D9"/>
              <w:right w:val="single" w:sz="4" w:color="D9D9D9"/>
            </w:tcBorders>
            <w:tcMar>
              <w:top w:w="75" w:type="dxa"/>
              <w:left w:w="75" w:type="dxa"/>
              <w:bottom w:w="75" w:type="dxa"/>
              <w:right w:w="75" w:type="dxa"/>
            </w:tcMar>
            <w:shd w:fill="24485E"/>
            <w:vAlign w:val="center"/>
          </w:tcPr>
          <w:p>
            <w:pPr>
              <w:spacing w:after="20" w:before="20"/>
            </w:pPr>
            <w:r>
              <w:rPr>
                <w:b/>
                <w:color w:val="FFFFFF"/>
                <w:sz w:val="19"/>
              </w:rPr>
              <w:t>Gate before proceeding</w:t>
            </w:r>
          </w:p>
        </w:tc>
      </w:tr>
      <w:tr>
        <w:trPr>
          <w:cantSplit/>
        </w:trPr>
        <w:tc>
          <w:tcPr>
            <w:tcW w:type="dxa" w:w="648"/>
            <w:tcBorders>
              <w:top w:val="single" w:sz="4" w:color="D9D9D9"/>
              <w:left w:val="single" w:sz="4" w:color="D9D9D9"/>
              <w:bottom w:val="single" w:sz="4" w:color="D9D9D9"/>
              <w:right w:val="single" w:sz="4" w:color="D9D9D9"/>
            </w:tcBorders>
            <w:tcMar>
              <w:top w:w="75" w:type="dxa"/>
              <w:left w:w="75" w:type="dxa"/>
              <w:bottom w:w="75" w:type="dxa"/>
              <w:right w:w="75" w:type="dxa"/>
            </w:tcMar>
            <w:shd w:fill="FFFFFF"/>
            <w:vAlign w:val="center"/>
          </w:tcPr>
          <w:p>
            <w:pPr>
              <w:spacing w:after="20" w:before="20"/>
            </w:pPr>
            <w:r>
              <w:rPr>
                <w:sz w:val="19"/>
              </w:rPr>
              <w:t>1</w:t>
            </w:r>
          </w:p>
        </w:tc>
        <w:tc>
          <w:tcPr>
            <w:tcW w:type="dxa" w:w="3384"/>
            <w:tcBorders>
              <w:top w:val="single" w:sz="4" w:color="D9D9D9"/>
              <w:left w:val="single" w:sz="4" w:color="D9D9D9"/>
              <w:bottom w:val="single" w:sz="4" w:color="D9D9D9"/>
              <w:right w:val="single" w:sz="4" w:color="D9D9D9"/>
            </w:tcBorders>
            <w:tcMar>
              <w:top w:w="75" w:type="dxa"/>
              <w:left w:w="75" w:type="dxa"/>
              <w:bottom w:w="75" w:type="dxa"/>
              <w:right w:w="75" w:type="dxa"/>
            </w:tcMar>
            <w:shd w:fill="FFFFFF"/>
            <w:vAlign w:val="center"/>
          </w:tcPr>
          <w:p>
            <w:pPr>
              <w:spacing w:after="20" w:before="20"/>
            </w:pPr>
            <w:r>
              <w:rPr>
                <w:sz w:val="19"/>
              </w:rPr>
              <w:t>Atom Factory paper prototype and exact answer bank</w:t>
            </w:r>
          </w:p>
        </w:tc>
        <w:tc>
          <w:tcPr>
            <w:tcW w:type="dxa" w:w="6048"/>
            <w:tcBorders>
              <w:top w:val="single" w:sz="4" w:color="D9D9D9"/>
              <w:left w:val="single" w:sz="4" w:color="D9D9D9"/>
              <w:bottom w:val="single" w:sz="4" w:color="D9D9D9"/>
              <w:right w:val="single" w:sz="4" w:color="D9D9D9"/>
            </w:tcBorders>
            <w:tcMar>
              <w:top w:w="75" w:type="dxa"/>
              <w:left w:w="75" w:type="dxa"/>
              <w:bottom w:w="75" w:type="dxa"/>
              <w:right w:w="75" w:type="dxa"/>
            </w:tcMar>
            <w:shd w:fill="FFFFFF"/>
            <w:vAlign w:val="center"/>
          </w:tcPr>
          <w:p>
            <w:pPr>
              <w:spacing w:after="20" w:before="20"/>
            </w:pPr>
            <w:r>
              <w:rPr>
                <w:sz w:val="19"/>
              </w:rPr>
              <w:t>A teacher can follow the worked round; valid alternatives and common mistakes are handled correctly</w:t>
            </w:r>
          </w:p>
        </w:tc>
      </w:tr>
      <w:tr>
        <w:trPr>
          <w:cantSplit/>
        </w:trPr>
        <w:tc>
          <w:tcPr>
            <w:tcW w:type="dxa" w:w="648"/>
            <w:tcBorders>
              <w:top w:val="single" w:sz="4" w:color="D9D9D9"/>
              <w:left w:val="single" w:sz="4" w:color="D9D9D9"/>
              <w:bottom w:val="single" w:sz="4" w:color="D9D9D9"/>
              <w:right w:val="single" w:sz="4" w:color="D9D9D9"/>
            </w:tcBorders>
            <w:tcMar>
              <w:top w:w="75" w:type="dxa"/>
              <w:left w:w="75" w:type="dxa"/>
              <w:bottom w:w="75" w:type="dxa"/>
              <w:right w:w="75" w:type="dxa"/>
            </w:tcMar>
            <w:shd w:fill="F1F5F7"/>
            <w:vAlign w:val="center"/>
          </w:tcPr>
          <w:p>
            <w:pPr>
              <w:spacing w:after="20" w:before="20"/>
            </w:pPr>
            <w:r>
              <w:rPr>
                <w:sz w:val="19"/>
              </w:rPr>
              <w:t>2</w:t>
            </w:r>
          </w:p>
        </w:tc>
        <w:tc>
          <w:tcPr>
            <w:tcW w:type="dxa" w:w="3384"/>
            <w:tcBorders>
              <w:top w:val="single" w:sz="4" w:color="D9D9D9"/>
              <w:left w:val="single" w:sz="4" w:color="D9D9D9"/>
              <w:bottom w:val="single" w:sz="4" w:color="D9D9D9"/>
              <w:right w:val="single" w:sz="4" w:color="D9D9D9"/>
            </w:tcBorders>
            <w:tcMar>
              <w:top w:w="75" w:type="dxa"/>
              <w:left w:w="75" w:type="dxa"/>
              <w:bottom w:w="75" w:type="dxa"/>
              <w:right w:w="75" w:type="dxa"/>
            </w:tcMar>
            <w:shd w:fill="F1F5F7"/>
            <w:vAlign w:val="center"/>
          </w:tcPr>
          <w:p>
            <w:pPr>
              <w:spacing w:after="20" w:before="20"/>
            </w:pPr>
            <w:r>
              <w:rPr>
                <w:sz w:val="19"/>
              </w:rPr>
              <w:t>Atom Factory playable pilot after separate build approval</w:t>
            </w:r>
          </w:p>
        </w:tc>
        <w:tc>
          <w:tcPr>
            <w:tcW w:type="dxa" w:w="6048"/>
            <w:tcBorders>
              <w:top w:val="single" w:sz="4" w:color="D9D9D9"/>
              <w:left w:val="single" w:sz="4" w:color="D9D9D9"/>
              <w:bottom w:val="single" w:sz="4" w:color="D9D9D9"/>
              <w:right w:val="single" w:sz="4" w:color="D9D9D9"/>
            </w:tcBorders>
            <w:tcMar>
              <w:top w:w="75" w:type="dxa"/>
              <w:left w:w="75" w:type="dxa"/>
              <w:bottom w:w="75" w:type="dxa"/>
              <w:right w:w="75" w:type="dxa"/>
            </w:tcMar>
            <w:shd w:fill="F1F5F7"/>
            <w:vAlign w:val="center"/>
          </w:tcPr>
          <w:p>
            <w:pPr>
              <w:spacing w:after="20" w:before="20"/>
            </w:pPr>
            <w:r>
              <w:rPr>
                <w:sz w:val="19"/>
              </w:rPr>
              <w:t>Core loop, keyboard/touch interaction, transfer task and reset pass; no personal data collected</w:t>
            </w:r>
          </w:p>
        </w:tc>
      </w:tr>
      <w:tr>
        <w:trPr>
          <w:cantSplit/>
        </w:trPr>
        <w:tc>
          <w:tcPr>
            <w:tcW w:type="dxa" w:w="648"/>
            <w:tcBorders>
              <w:top w:val="single" w:sz="4" w:color="D9D9D9"/>
              <w:left w:val="single" w:sz="4" w:color="D9D9D9"/>
              <w:bottom w:val="single" w:sz="4" w:color="D9D9D9"/>
              <w:right w:val="single" w:sz="4" w:color="D9D9D9"/>
            </w:tcBorders>
            <w:tcMar>
              <w:top w:w="75" w:type="dxa"/>
              <w:left w:w="75" w:type="dxa"/>
              <w:bottom w:w="75" w:type="dxa"/>
              <w:right w:w="75" w:type="dxa"/>
            </w:tcMar>
            <w:shd w:fill="FFFFFF"/>
            <w:vAlign w:val="center"/>
          </w:tcPr>
          <w:p>
            <w:pPr>
              <w:spacing w:after="20" w:before="20"/>
            </w:pPr>
            <w:r>
              <w:rPr>
                <w:sz w:val="19"/>
              </w:rPr>
              <w:t>3</w:t>
            </w:r>
          </w:p>
        </w:tc>
        <w:tc>
          <w:tcPr>
            <w:tcW w:type="dxa" w:w="3384"/>
            <w:tcBorders>
              <w:top w:val="single" w:sz="4" w:color="D9D9D9"/>
              <w:left w:val="single" w:sz="4" w:color="D9D9D9"/>
              <w:bottom w:val="single" w:sz="4" w:color="D9D9D9"/>
              <w:right w:val="single" w:sz="4" w:color="D9D9D9"/>
            </w:tcBorders>
            <w:tcMar>
              <w:top w:w="75" w:type="dxa"/>
              <w:left w:w="75" w:type="dxa"/>
              <w:bottom w:w="75" w:type="dxa"/>
              <w:right w:w="75" w:type="dxa"/>
            </w:tcMar>
            <w:shd w:fill="FFFFFF"/>
            <w:vAlign w:val="center"/>
          </w:tcPr>
          <w:p>
            <w:pPr>
              <w:spacing w:after="20" w:before="20"/>
            </w:pPr>
            <w:r>
              <w:rPr>
                <w:sz w:val="19"/>
              </w:rPr>
              <w:t>Crash-Test Studio learning prototype</w:t>
            </w:r>
          </w:p>
        </w:tc>
        <w:tc>
          <w:tcPr>
            <w:tcW w:type="dxa" w:w="6048"/>
            <w:tcBorders>
              <w:top w:val="single" w:sz="4" w:color="D9D9D9"/>
              <w:left w:val="single" w:sz="4" w:color="D9D9D9"/>
              <w:bottom w:val="single" w:sz="4" w:color="D9D9D9"/>
              <w:right w:val="single" w:sz="4" w:color="D9D9D9"/>
            </w:tcBorders>
            <w:tcMar>
              <w:top w:w="75" w:type="dxa"/>
              <w:left w:w="75" w:type="dxa"/>
              <w:bottom w:w="75" w:type="dxa"/>
              <w:right w:w="75" w:type="dxa"/>
            </w:tcMar>
            <w:shd w:fill="FFFFFF"/>
            <w:vAlign w:val="center"/>
          </w:tcPr>
          <w:p>
            <w:pPr>
              <w:spacing w:after="20" w:before="20"/>
            </w:pPr>
            <w:r>
              <w:rPr>
                <w:sz w:val="19"/>
              </w:rPr>
              <w:t>Separate systems, signs, units, average-force limits and a valid collision account</w:t>
            </w:r>
          </w:p>
        </w:tc>
      </w:tr>
      <w:tr>
        <w:trPr>
          <w:cantSplit/>
        </w:trPr>
        <w:tc>
          <w:tcPr>
            <w:tcW w:type="dxa" w:w="648"/>
            <w:tcBorders>
              <w:top w:val="single" w:sz="4" w:color="D9D9D9"/>
              <w:left w:val="single" w:sz="4" w:color="D9D9D9"/>
              <w:bottom w:val="single" w:sz="4" w:color="D9D9D9"/>
              <w:right w:val="single" w:sz="4" w:color="D9D9D9"/>
            </w:tcBorders>
            <w:tcMar>
              <w:top w:w="75" w:type="dxa"/>
              <w:left w:w="75" w:type="dxa"/>
              <w:bottom w:w="75" w:type="dxa"/>
              <w:right w:w="75" w:type="dxa"/>
            </w:tcMar>
            <w:shd w:fill="F1F5F7"/>
            <w:vAlign w:val="center"/>
          </w:tcPr>
          <w:p>
            <w:pPr>
              <w:spacing w:after="20" w:before="20"/>
            </w:pPr>
            <w:r>
              <w:rPr>
                <w:sz w:val="19"/>
              </w:rPr>
              <w:t>4</w:t>
            </w:r>
          </w:p>
        </w:tc>
        <w:tc>
          <w:tcPr>
            <w:tcW w:type="dxa" w:w="3384"/>
            <w:tcBorders>
              <w:top w:val="single" w:sz="4" w:color="D9D9D9"/>
              <w:left w:val="single" w:sz="4" w:color="D9D9D9"/>
              <w:bottom w:val="single" w:sz="4" w:color="D9D9D9"/>
              <w:right w:val="single" w:sz="4" w:color="D9D9D9"/>
            </w:tcBorders>
            <w:tcMar>
              <w:top w:w="75" w:type="dxa"/>
              <w:left w:w="75" w:type="dxa"/>
              <w:bottom w:w="75" w:type="dxa"/>
              <w:right w:w="75" w:type="dxa"/>
            </w:tcMar>
            <w:shd w:fill="F1F5F7"/>
            <w:vAlign w:val="center"/>
          </w:tcPr>
          <w:p>
            <w:pPr>
              <w:spacing w:after="20" w:before="20"/>
            </w:pPr>
            <w:r>
              <w:rPr>
                <w:sz w:val="19"/>
              </w:rPr>
              <w:t>Energy Chain Rescue and Power Budget Challenge</w:t>
            </w:r>
          </w:p>
        </w:tc>
        <w:tc>
          <w:tcPr>
            <w:tcW w:type="dxa" w:w="6048"/>
            <w:tcBorders>
              <w:top w:val="single" w:sz="4" w:color="D9D9D9"/>
              <w:left w:val="single" w:sz="4" w:color="D9D9D9"/>
              <w:bottom w:val="single" w:sz="4" w:color="D9D9D9"/>
              <w:right w:val="single" w:sz="4" w:color="D9D9D9"/>
            </w:tcBorders>
            <w:tcMar>
              <w:top w:w="75" w:type="dxa"/>
              <w:left w:w="75" w:type="dxa"/>
              <w:bottom w:w="75" w:type="dxa"/>
              <w:right w:w="75" w:type="dxa"/>
            </w:tcMar>
            <w:shd w:fill="F1F5F7"/>
            <w:vAlign w:val="center"/>
          </w:tcPr>
          <w:p>
            <w:pPr>
              <w:spacing w:after="20" w:before="20"/>
            </w:pPr>
            <w:r>
              <w:rPr>
                <w:sz w:val="19"/>
              </w:rPr>
              <w:t>Reuse the shell; verify energy ledgers and unit-aware calculations</w:t>
            </w:r>
          </w:p>
        </w:tc>
      </w:tr>
      <w:tr>
        <w:trPr>
          <w:cantSplit/>
        </w:trPr>
        <w:tc>
          <w:tcPr>
            <w:tcW w:type="dxa" w:w="648"/>
            <w:tcBorders>
              <w:top w:val="single" w:sz="4" w:color="D9D9D9"/>
              <w:left w:val="single" w:sz="4" w:color="D9D9D9"/>
              <w:bottom w:val="single" w:sz="4" w:color="D9D9D9"/>
              <w:right w:val="single" w:sz="4" w:color="D9D9D9"/>
            </w:tcBorders>
            <w:tcMar>
              <w:top w:w="75" w:type="dxa"/>
              <w:left w:w="75" w:type="dxa"/>
              <w:bottom w:w="75" w:type="dxa"/>
              <w:right w:w="75" w:type="dxa"/>
            </w:tcMar>
            <w:shd w:fill="FFFFFF"/>
            <w:vAlign w:val="center"/>
          </w:tcPr>
          <w:p>
            <w:pPr>
              <w:spacing w:after="20" w:before="20"/>
            </w:pPr>
            <w:r>
              <w:rPr>
                <w:sz w:val="19"/>
              </w:rPr>
              <w:t>5</w:t>
            </w:r>
          </w:p>
        </w:tc>
        <w:tc>
          <w:tcPr>
            <w:tcW w:type="dxa" w:w="3384"/>
            <w:tcBorders>
              <w:top w:val="single" w:sz="4" w:color="D9D9D9"/>
              <w:left w:val="single" w:sz="4" w:color="D9D9D9"/>
              <w:bottom w:val="single" w:sz="4" w:color="D9D9D9"/>
              <w:right w:val="single" w:sz="4" w:color="D9D9D9"/>
            </w:tcBorders>
            <w:tcMar>
              <w:top w:w="75" w:type="dxa"/>
              <w:left w:w="75" w:type="dxa"/>
              <w:bottom w:w="75" w:type="dxa"/>
              <w:right w:w="75" w:type="dxa"/>
            </w:tcMar>
            <w:shd w:fill="FFFFFF"/>
            <w:vAlign w:val="center"/>
          </w:tcPr>
          <w:p>
            <w:pPr>
              <w:spacing w:after="20" w:before="20"/>
            </w:pPr>
            <w:r>
              <w:rPr>
                <w:sz w:val="19"/>
              </w:rPr>
              <w:t>Reaction Detective and Safe Stop Challenge</w:t>
            </w:r>
          </w:p>
        </w:tc>
        <w:tc>
          <w:tcPr>
            <w:tcW w:type="dxa" w:w="6048"/>
            <w:tcBorders>
              <w:top w:val="single" w:sz="4" w:color="D9D9D9"/>
              <w:left w:val="single" w:sz="4" w:color="D9D9D9"/>
              <w:bottom w:val="single" w:sz="4" w:color="D9D9D9"/>
              <w:right w:val="single" w:sz="4" w:color="D9D9D9"/>
            </w:tcBorders>
            <w:tcMar>
              <w:top w:w="75" w:type="dxa"/>
              <w:left w:w="75" w:type="dxa"/>
              <w:bottom w:w="75" w:type="dxa"/>
              <w:right w:w="75" w:type="dxa"/>
            </w:tcMar>
            <w:shd w:fill="FFFFFF"/>
            <w:vAlign w:val="center"/>
          </w:tcPr>
          <w:p>
            <w:pPr>
              <w:spacing w:after="20" w:before="20"/>
            </w:pPr>
            <w:r>
              <w:rPr>
                <w:sz w:val="19"/>
              </w:rPr>
              <w:t>Check evidence sufficiency and graph/model consistency</w:t>
            </w:r>
          </w:p>
        </w:tc>
      </w:tr>
      <w:tr>
        <w:trPr>
          <w:cantSplit/>
        </w:trPr>
        <w:tc>
          <w:tcPr>
            <w:tcW w:type="dxa" w:w="648"/>
            <w:tcBorders>
              <w:top w:val="single" w:sz="4" w:color="D9D9D9"/>
              <w:left w:val="single" w:sz="4" w:color="D9D9D9"/>
              <w:bottom w:val="single" w:sz="4" w:color="D9D9D9"/>
              <w:right w:val="single" w:sz="4" w:color="D9D9D9"/>
            </w:tcBorders>
            <w:tcMar>
              <w:top w:w="75" w:type="dxa"/>
              <w:left w:w="75" w:type="dxa"/>
              <w:bottom w:w="75" w:type="dxa"/>
              <w:right w:w="75" w:type="dxa"/>
            </w:tcMar>
            <w:shd w:fill="F1F5F7"/>
            <w:vAlign w:val="center"/>
          </w:tcPr>
          <w:p>
            <w:pPr>
              <w:spacing w:after="20" w:before="20"/>
            </w:pPr>
            <w:r>
              <w:rPr>
                <w:sz w:val="19"/>
              </w:rPr>
              <w:t>6</w:t>
            </w:r>
          </w:p>
        </w:tc>
        <w:tc>
          <w:tcPr>
            <w:tcW w:type="dxa" w:w="3384"/>
            <w:tcBorders>
              <w:top w:val="single" w:sz="4" w:color="D9D9D9"/>
              <w:left w:val="single" w:sz="4" w:color="D9D9D9"/>
              <w:bottom w:val="single" w:sz="4" w:color="D9D9D9"/>
              <w:right w:val="single" w:sz="4" w:color="D9D9D9"/>
            </w:tcBorders>
            <w:tcMar>
              <w:top w:w="75" w:type="dxa"/>
              <w:left w:w="75" w:type="dxa"/>
              <w:bottom w:w="75" w:type="dxa"/>
              <w:right w:w="75" w:type="dxa"/>
            </w:tcMar>
            <w:shd w:fill="F1F5F7"/>
            <w:vAlign w:val="center"/>
          </w:tcPr>
          <w:p>
            <w:pPr>
              <w:spacing w:after="20" w:before="20"/>
            </w:pPr>
            <w:r>
              <w:rPr>
                <w:sz w:val="19"/>
              </w:rPr>
              <w:t>Break the Chain and Inheritance Detective</w:t>
            </w:r>
          </w:p>
        </w:tc>
        <w:tc>
          <w:tcPr>
            <w:tcW w:type="dxa" w:w="6048"/>
            <w:tcBorders>
              <w:top w:val="single" w:sz="4" w:color="D9D9D9"/>
              <w:left w:val="single" w:sz="4" w:color="D9D9D9"/>
              <w:bottom w:val="single" w:sz="4" w:color="D9D9D9"/>
              <w:right w:val="single" w:sz="4" w:color="D9D9D9"/>
            </w:tcBorders>
            <w:tcMar>
              <w:top w:w="75" w:type="dxa"/>
              <w:left w:w="75" w:type="dxa"/>
              <w:bottom w:w="75" w:type="dxa"/>
              <w:right w:w="75" w:type="dxa"/>
            </w:tcMar>
            <w:shd w:fill="F1F5F7"/>
            <w:vAlign w:val="center"/>
          </w:tcPr>
          <w:p>
            <w:pPr>
              <w:spacing w:after="20" w:before="20"/>
            </w:pPr>
            <w:r>
              <w:rPr>
                <w:sz w:val="19"/>
              </w:rPr>
              <w:t>Subject review of health wording, uncertainty, model limits and every pedigree</w:t>
            </w:r>
          </w:p>
        </w:tc>
      </w:tr>
    </w:tbl>
    <w:p>
      <w:r>
        <w:t>This order is a recommendation, not a schedule or a cost estimate. Review the first pilot before committing to a full build. Health and genetics cases need deliberate source review; they should not be rushed by reusing an earlier answer key.</w:t>
      </w:r>
    </w:p>
    <w:p>
      <w:pPr>
        <w:pStyle w:val="Heading2"/>
      </w:pPr>
      <w:r>
        <w:t>Suggested project files</w:t>
      </w:r>
    </w:p>
    <w:p>
      <w:r>
        <w:t>Keep a project overview and decision log, a source manifest, the shared design rules, and a separate design brief for each game. Each game then gets an authored scenario bank, exact answer/feedback record, asset inventory and QA checklist. Keep future implementation files separate from approved instructional content.</w:t>
      </w:r>
    </w:p>
    <w:p>
      <w:pPr>
        <w:pStyle w:val="Heading2"/>
      </w:pPr>
      <w:r>
        <w:t>What remains in the course</w:t>
      </w:r>
    </w:p>
    <w:p>
      <w:r>
        <w:t>Eight games supplement instruction; they do not replace the full curriculum. Examples needing other lesson work include material/technology impacts, fossil-fuel formation and processing, nutrition, DNA structure/replication and mutations, genetics ethics, and evaluation of safety regulations and evidence. Do not claim complete outcome coverage from the game set.</w:t>
      </w:r>
    </w:p>
    <w:p>
      <w:pPr>
        <w:pStyle w:val="Heading2"/>
      </w:pPr>
      <w:r>
        <w:t>Decisions to confirm</w:t>
      </w:r>
    </w:p>
    <w:p>
      <w:pPr>
        <w:pStyle w:val="ListBullet"/>
      </w:pPr>
      <w:r>
        <w:t>First pilot and audience: independent outreach use, classroom use or both; expected device and session length</w:t>
      </w:r>
    </w:p>
    <w:p>
      <w:pPr>
        <w:pStyle w:val="ListBullet"/>
      </w:pPr>
      <w:r>
        <w:t>Current canonical course files, correct source editions and exact placement within lessons</w:t>
      </w:r>
    </w:p>
    <w:p>
      <w:pPr>
        <w:pStyle w:val="ListBullet"/>
      </w:pPr>
      <w:r>
        <w:t>Visual direction and asset budget; first prototype format and eventual delivery platform</w:t>
      </w:r>
    </w:p>
    <w:p>
      <w:pPr>
        <w:pStyle w:val="ListBullet"/>
      </w:pPr>
      <w:r>
        <w:t>Whether any future saved progress, teacher review or LMS reporting is wanted; default prototype has none</w:t>
      </w:r>
    </w:p>
    <w:p>
      <w:r>
        <w:br w:type="page"/>
      </w:r>
    </w:p>
    <w:p>
      <w:pPr>
        <w:pStyle w:val="Heading1"/>
      </w:pPr>
      <w:r>
        <w:t>Acceptance tests and release boundaries</w:t>
      </w:r>
    </w:p>
    <w:p>
      <w:pPr>
        <w:pStyle w:val="Heading2"/>
      </w:pPr>
      <w:r>
        <w:t>Check the science before presentation polish</w:t>
      </w:r>
    </w:p>
    <w:p>
      <w:pPr>
        <w:pStyle w:val="ListBullet"/>
      </w:pPr>
      <w:r>
        <w:t>Recalculate every numerical example and accepted answer. Verify signs, units, rounding and equivalent valid answers. Check every atom count, genotype set and energy total.</w:t>
      </w:r>
    </w:p>
    <w:p>
      <w:pPr>
        <w:pStyle w:val="ListBullet"/>
      </w:pPr>
      <w:r>
        <w:t>Test a correct response, a likely misconception, an incomplete response and a valid alternative. Ensure feedback explains the relevant issue and gives a useful next action.</w:t>
      </w:r>
    </w:p>
    <w:p>
      <w:pPr>
        <w:pStyle w:val="ListBullet"/>
      </w:pPr>
      <w:r>
        <w:t>Verify that the worked answer is unavailable during the intended independent attempt. Changing a value must update every linked representation consistently.</w:t>
      </w:r>
    </w:p>
    <w:p>
      <w:pPr>
        <w:pStyle w:val="ListBullet"/>
      </w:pPr>
      <w:r>
        <w:t>Inspect every depiction of an unobservable process. Distinguish symbolic models from literal appearance and supplied data from real measurements.</w:t>
      </w:r>
    </w:p>
    <w:p>
      <w:pPr>
        <w:pStyle w:val="Heading2"/>
      </w:pPr>
      <w:r>
        <w:t>Test the learning experience</w:t>
      </w:r>
    </w:p>
    <w:p>
      <w:r>
        <w:t>Ask a reviewer unfamiliar with the design to complete the mission without the author explaining it. Record where they cannot identify the goal, use a control, interpret feedback or find what to do next. A successful click sequence is not sufficient; inspect the learner product and the fresh transfer response.</w:t>
      </w:r>
    </w:p>
    <w:p>
      <w:r>
        <w:t>A first pilot can use adult/teacher reviewers and invented inputs. Any later classroom evaluation needs a separate plan for permissions and data handling. This package supplies no student records, accounts, health information or family information.</w:t>
      </w:r>
    </w:p>
    <w:p>
      <w:pPr>
        <w:pStyle w:val="Heading2"/>
      </w:pPr>
      <w:r>
        <w:t>Test access and technical behaviour</w:t>
      </w:r>
    </w:p>
    <w:p>
      <w:r>
        <w:t>Use keyboard only, touch and a screen reader for representative rounds. Check narrow widths, zoom, long feedback and reduced motion. Test invalid numbers, empty answers, resetting mid-round, changing scenarios, back navigation and interrupted animation. Confirm no external analytics, forms or network services collect responses.</w:t>
      </w:r>
    </w:p>
    <w:p>
      <w:r>
        <w:t>For a later course integration, work on an approved copy first. Preserve existing lesson IDs, required checks, saved work and progress behaviour unless a specific change is approved. Test fresh and existing saved states and retain a recoverable baseline. Do not infer runtime success from screenshots alone.</w:t>
      </w:r>
    </w:p>
    <w:p>
      <w:pPr>
        <w:pStyle w:val="Heading2"/>
      </w:pPr>
      <w:r>
        <w:t>Required release record</w:t>
      </w:r>
    </w:p>
    <w:p>
      <w:r>
        <w:t>Record the exact game/scenario version, source checks, tested devices and browsers, known limits, accessibility results and teacher content review. Mark unperformed tests “Not tested.” Keep a clear distinction between a design draft, a playable prototype, a reviewed learning activity and a released course component.</w:t>
      </w:r>
    </w:p>
    <w:p>
      <w:pPr>
        <w:pStyle w:val="Heading2"/>
      </w:pPr>
      <w:r>
        <w:t>Out of scope for this package</w:t>
      </w:r>
    </w:p>
    <w:p>
      <w:r>
        <w:t>No game code, generated assets, live health advice, real-road safety advice, deployment, student-data processing or ChatGPT project setup is included. No source textbook content is republished. The next authorized step can be a fuller design for one game; it should not silently become an implementation or course rewrite.</w:t>
      </w:r>
    </w:p>
    <w:p>
      <w:r>
        <w:br w:type="page"/>
      </w:r>
    </w:p>
    <w:p>
      <w:pPr>
        <w:pStyle w:val="Heading1"/>
      </w:pPr>
      <w:r>
        <w:t>Starting the ChatGPT project</w:t>
      </w:r>
    </w:p>
    <w:p>
      <w:pPr>
        <w:pStyle w:val="Heading2"/>
      </w:pPr>
      <w:r>
        <w:t>Suggested project name</w:t>
      </w:r>
    </w:p>
    <w:p>
      <w:r>
        <w:t>Science 24 Learning Games</w:t>
      </w:r>
    </w:p>
    <w:p>
      <w:pPr>
        <w:pStyle w:val="Heading2"/>
      </w:pPr>
      <w:r>
        <w:t>Files to add first</w:t>
      </w:r>
    </w:p>
    <w:p>
      <w:pPr>
        <w:pStyle w:val="ListBullet"/>
      </w:pPr>
      <w:r>
        <w:t>Science24_Games_Project_Brief_v0.1.docx for the common scope and eight briefs</w:t>
      </w:r>
    </w:p>
    <w:p>
      <w:pPr>
        <w:pStyle w:val="ListBullet"/>
      </w:pPr>
      <w:r>
        <w:t>Science24_Games_Project_Instructions_and_Starter_Prompts_v0.1.txt for copy-paste instructions and task prompts</w:t>
      </w:r>
    </w:p>
    <w:p>
      <w:pPr>
        <w:pStyle w:val="ListBullet"/>
      </w:pPr>
      <w:r>
        <w:t>Science24_Games_Sources_Manifest_v0.1.json for source identities, locators and limitations</w:t>
      </w:r>
    </w:p>
    <w:p>
      <w:pPr>
        <w:pStyle w:val="ListBullet"/>
      </w:pPr>
      <w:r>
        <w:t>The current approved course material and relevant textbook/workbook extracts when ready to audit placement or reuse examples</w:t>
      </w:r>
    </w:p>
    <w:p>
      <w:pPr>
        <w:pStyle w:val="Heading2"/>
      </w:pPr>
      <w:r>
        <w:t>First prompt</w:t>
      </w:r>
    </w:p>
    <w:p>
      <w:r>
        <w:t>Read the Science 24 Games Project Brief and the source manifest. Summarize the scope, assumptions and unresolved decisions. Propose a small Atom Factory design pilot with one worked round, three practice rounds and one fresh transfer case. Do not write code or create art yet. Identify any source gap that could change the science or the lesson placement.</w:t>
      </w:r>
    </w:p>
    <w:p>
      <w:pPr>
        <w:pStyle w:val="Heading2"/>
      </w:pPr>
      <w:r>
        <w:t>Working approach</w:t>
      </w:r>
    </w:p>
    <w:p>
      <w:r>
        <w:t>Use one conversation for shared decisions and separate conversations for each game’s design. Start every new game task by naming its ID and the brief version. Keep accepted decisions in the project files; do not rely on an old chat summary as the sole specification.</w:t>
      </w:r>
    </w:p>
    <w:p>
      <w:r>
        <w:t>Ask for a scenario and feedback review before a visual treatment. Then review one style frame. Build only after the exact scope and approach have been approved. Finally, compare the result against the shared acceptance tests and the individual game’s success criteria.</w:t>
      </w:r>
    </w:p>
    <w:p>
      <w:pPr>
        <w:pStyle w:val="Heading2"/>
      </w:pPr>
      <w:r>
        <w:t>Starter prompts in the companion TXT</w:t>
      </w:r>
    </w:p>
    <w:p>
      <w:r>
        <w:t>The companion provides a reusable set of project instructions, one prompt for each of the eight games, a scenario-review prompt, a visual-direction prompt and a final audit prompt. It is intended for direct copy and paste, without rebuilding the brief from memory.</w:t>
      </w:r>
    </w:p>
    <w:p>
      <w:pPr>
        <w:pStyle w:val="Heading2"/>
      </w:pPr>
      <w:r>
        <w:t>What to settle before implementation</w:t>
      </w:r>
    </w:p>
    <w:p>
      <w:r>
        <w:t>Confirm the pilot’s lesson location, source examples, intended learner supports, provisional visual direction and delivery format. A self-contained practice activity and an LMS-connected activity have different testing and data requirements. Decide deliberately rather than letting a prototype accumulate unrequested features.</w:t>
      </w:r>
    </w:p>
    <w:p>
      <w:r>
        <w:br w:type="page"/>
      </w:r>
    </w:p>
    <w:p>
      <w:pPr>
        <w:pStyle w:val="Heading1"/>
      </w:pPr>
      <w:r>
        <w:t>Curriculum map and source limits</w:t>
      </w:r>
    </w:p>
    <w:p>
      <w:r>
        <w:t>The labels A1–D2 identify games in this brief. Curriculum locators below refer to each unit’s numbered general outcomes in the Alberta program; they are not new official outcome codes. Printed page numbers and PDF page numbers match in S1.</w:t>
      </w:r>
    </w:p>
    <w:tbl>
      <w:tblPr>
        <w:tblW w:type="auto" w:w="0"/>
        <w:tblLayout w:type="fixed"/>
        <w:tblLook w:firstColumn="1" w:firstRow="1" w:lastColumn="0" w:lastRow="0" w:noHBand="0" w:noVBand="1" w:val="04A0"/>
      </w:tblPr>
      <w:tblGrid>
        <w:gridCol w:w="720"/>
        <w:gridCol w:w="1944"/>
        <w:gridCol w:w="1008"/>
        <w:gridCol w:w="6408"/>
      </w:tblGrid>
      <w:tr>
        <w:trPr>
          <w:cantSplit/>
          <w:tblHeader/>
        </w:trPr>
        <w:tc>
          <w:tcPr>
            <w:tcW w:type="dxa" w:w="720"/>
            <w:tcBorders>
              <w:top w:val="single" w:sz="4" w:color="D9D9D9"/>
              <w:left w:val="single" w:sz="4" w:color="D9D9D9"/>
              <w:bottom w:val="single" w:sz="4" w:color="D9D9D9"/>
              <w:right w:val="single" w:sz="4" w:color="D9D9D9"/>
            </w:tcBorders>
            <w:tcMar>
              <w:top w:w="75" w:type="dxa"/>
              <w:left w:w="75" w:type="dxa"/>
              <w:bottom w:w="75" w:type="dxa"/>
              <w:right w:w="75" w:type="dxa"/>
            </w:tcMar>
            <w:shd w:fill="24485E"/>
            <w:vAlign w:val="center"/>
          </w:tcPr>
          <w:p>
            <w:pPr>
              <w:spacing w:after="20" w:before="20"/>
            </w:pPr>
            <w:r>
              <w:rPr>
                <w:b/>
                <w:color w:val="FFFFFF"/>
                <w:sz w:val="19"/>
              </w:rPr>
              <w:t>Game</w:t>
            </w:r>
          </w:p>
        </w:tc>
        <w:tc>
          <w:tcPr>
            <w:tcW w:type="dxa" w:w="1944"/>
            <w:tcBorders>
              <w:top w:val="single" w:sz="4" w:color="D9D9D9"/>
              <w:left w:val="single" w:sz="4" w:color="D9D9D9"/>
              <w:bottom w:val="single" w:sz="4" w:color="D9D9D9"/>
              <w:right w:val="single" w:sz="4" w:color="D9D9D9"/>
            </w:tcBorders>
            <w:tcMar>
              <w:top w:w="75" w:type="dxa"/>
              <w:left w:w="75" w:type="dxa"/>
              <w:bottom w:w="75" w:type="dxa"/>
              <w:right w:w="75" w:type="dxa"/>
            </w:tcMar>
            <w:shd w:fill="24485E"/>
            <w:vAlign w:val="center"/>
          </w:tcPr>
          <w:p>
            <w:pPr>
              <w:spacing w:after="20" w:before="20"/>
            </w:pPr>
            <w:r>
              <w:rPr>
                <w:b/>
                <w:color w:val="FFFFFF"/>
                <w:sz w:val="19"/>
              </w:rPr>
              <w:t>General outcomes</w:t>
            </w:r>
          </w:p>
        </w:tc>
        <w:tc>
          <w:tcPr>
            <w:tcW w:type="dxa" w:w="1008"/>
            <w:tcBorders>
              <w:top w:val="single" w:sz="4" w:color="D9D9D9"/>
              <w:left w:val="single" w:sz="4" w:color="D9D9D9"/>
              <w:bottom w:val="single" w:sz="4" w:color="D9D9D9"/>
              <w:right w:val="single" w:sz="4" w:color="D9D9D9"/>
            </w:tcBorders>
            <w:tcMar>
              <w:top w:w="75" w:type="dxa"/>
              <w:left w:w="75" w:type="dxa"/>
              <w:bottom w:w="75" w:type="dxa"/>
              <w:right w:w="75" w:type="dxa"/>
            </w:tcMar>
            <w:shd w:fill="24485E"/>
            <w:vAlign w:val="center"/>
          </w:tcPr>
          <w:p>
            <w:pPr>
              <w:spacing w:after="20" w:before="20"/>
            </w:pPr>
            <w:r>
              <w:rPr>
                <w:b/>
                <w:color w:val="FFFFFF"/>
                <w:sz w:val="19"/>
              </w:rPr>
              <w:t>S1 pages</w:t>
            </w:r>
          </w:p>
        </w:tc>
        <w:tc>
          <w:tcPr>
            <w:tcW w:type="dxa" w:w="6408"/>
            <w:tcBorders>
              <w:top w:val="single" w:sz="4" w:color="D9D9D9"/>
              <w:left w:val="single" w:sz="4" w:color="D9D9D9"/>
              <w:bottom w:val="single" w:sz="4" w:color="D9D9D9"/>
              <w:right w:val="single" w:sz="4" w:color="D9D9D9"/>
            </w:tcBorders>
            <w:tcMar>
              <w:top w:w="75" w:type="dxa"/>
              <w:left w:w="75" w:type="dxa"/>
              <w:bottom w:w="75" w:type="dxa"/>
              <w:right w:w="75" w:type="dxa"/>
            </w:tcMar>
            <w:shd w:fill="24485E"/>
            <w:vAlign w:val="center"/>
          </w:tcPr>
          <w:p>
            <w:pPr>
              <w:spacing w:after="20" w:before="20"/>
            </w:pPr>
            <w:r>
              <w:rPr>
                <w:b/>
                <w:color w:val="FFFFFF"/>
                <w:sz w:val="19"/>
              </w:rPr>
              <w:t>Main evidence produced</w:t>
            </w:r>
          </w:p>
        </w:tc>
      </w:tr>
      <w:tr>
        <w:trPr>
          <w:cantSplit/>
        </w:trPr>
        <w:tc>
          <w:tcPr>
            <w:tcW w:type="dxa" w:w="720"/>
            <w:tcBorders>
              <w:top w:val="single" w:sz="4" w:color="D9D9D9"/>
              <w:left w:val="single" w:sz="4" w:color="D9D9D9"/>
              <w:bottom w:val="single" w:sz="4" w:color="D9D9D9"/>
              <w:right w:val="single" w:sz="4" w:color="D9D9D9"/>
            </w:tcBorders>
            <w:tcMar>
              <w:top w:w="75" w:type="dxa"/>
              <w:left w:w="75" w:type="dxa"/>
              <w:bottom w:w="75" w:type="dxa"/>
              <w:right w:w="75" w:type="dxa"/>
            </w:tcMar>
            <w:shd w:fill="FFFFFF"/>
            <w:vAlign w:val="center"/>
          </w:tcPr>
          <w:p>
            <w:pPr>
              <w:spacing w:after="20" w:before="20"/>
            </w:pPr>
            <w:r>
              <w:rPr>
                <w:sz w:val="19"/>
              </w:rPr>
              <w:t>A1</w:t>
            </w:r>
          </w:p>
        </w:tc>
        <w:tc>
          <w:tcPr>
            <w:tcW w:type="dxa" w:w="1944"/>
            <w:tcBorders>
              <w:top w:val="single" w:sz="4" w:color="D9D9D9"/>
              <w:left w:val="single" w:sz="4" w:color="D9D9D9"/>
              <w:bottom w:val="single" w:sz="4" w:color="D9D9D9"/>
              <w:right w:val="single" w:sz="4" w:color="D9D9D9"/>
            </w:tcBorders>
            <w:tcMar>
              <w:top w:w="75" w:type="dxa"/>
              <w:left w:w="75" w:type="dxa"/>
              <w:bottom w:w="75" w:type="dxa"/>
              <w:right w:w="75" w:type="dxa"/>
            </w:tcMar>
            <w:shd w:fill="FFFFFF"/>
            <w:vAlign w:val="center"/>
          </w:tcPr>
          <w:p>
            <w:pPr>
              <w:spacing w:after="20" w:before="20"/>
            </w:pPr>
            <w:r>
              <w:rPr>
                <w:sz w:val="19"/>
              </w:rPr>
              <w:t>A 1, 2, 4</w:t>
            </w:r>
          </w:p>
        </w:tc>
        <w:tc>
          <w:tcPr>
            <w:tcW w:type="dxa" w:w="1008"/>
            <w:tcBorders>
              <w:top w:val="single" w:sz="4" w:color="D9D9D9"/>
              <w:left w:val="single" w:sz="4" w:color="D9D9D9"/>
              <w:bottom w:val="single" w:sz="4" w:color="D9D9D9"/>
              <w:right w:val="single" w:sz="4" w:color="D9D9D9"/>
            </w:tcBorders>
            <w:tcMar>
              <w:top w:w="75" w:type="dxa"/>
              <w:left w:w="75" w:type="dxa"/>
              <w:bottom w:w="75" w:type="dxa"/>
              <w:right w:w="75" w:type="dxa"/>
            </w:tcMar>
            <w:shd w:fill="FFFFFF"/>
            <w:vAlign w:val="center"/>
          </w:tcPr>
          <w:p>
            <w:pPr>
              <w:spacing w:after="20" w:before="20"/>
            </w:pPr>
            <w:r>
              <w:rPr>
                <w:sz w:val="19"/>
              </w:rPr>
              <w:t>31–32</w:t>
            </w:r>
          </w:p>
        </w:tc>
        <w:tc>
          <w:tcPr>
            <w:tcW w:type="dxa" w:w="6408"/>
            <w:tcBorders>
              <w:top w:val="single" w:sz="4" w:color="D9D9D9"/>
              <w:left w:val="single" w:sz="4" w:color="D9D9D9"/>
              <w:bottom w:val="single" w:sz="4" w:color="D9D9D9"/>
              <w:right w:val="single" w:sz="4" w:color="D9D9D9"/>
            </w:tcBorders>
            <w:tcMar>
              <w:top w:w="75" w:type="dxa"/>
              <w:left w:w="75" w:type="dxa"/>
              <w:bottom w:w="75" w:type="dxa"/>
              <w:right w:w="75" w:type="dxa"/>
            </w:tcMar>
            <w:shd w:fill="FFFFFF"/>
            <w:vAlign w:val="center"/>
          </w:tcPr>
          <w:p>
            <w:pPr>
              <w:spacing w:after="20" w:before="20"/>
            </w:pPr>
            <w:r>
              <w:rPr>
                <w:sz w:val="19"/>
              </w:rPr>
              <w:t>Claim, supporting evidence and response</w:t>
            </w:r>
          </w:p>
        </w:tc>
      </w:tr>
      <w:tr>
        <w:trPr>
          <w:cantSplit/>
        </w:trPr>
        <w:tc>
          <w:tcPr>
            <w:tcW w:type="dxa" w:w="720"/>
            <w:tcBorders>
              <w:top w:val="single" w:sz="4" w:color="D9D9D9"/>
              <w:left w:val="single" w:sz="4" w:color="D9D9D9"/>
              <w:bottom w:val="single" w:sz="4" w:color="D9D9D9"/>
              <w:right w:val="single" w:sz="4" w:color="D9D9D9"/>
            </w:tcBorders>
            <w:tcMar>
              <w:top w:w="75" w:type="dxa"/>
              <w:left w:w="75" w:type="dxa"/>
              <w:bottom w:w="75" w:type="dxa"/>
              <w:right w:w="75" w:type="dxa"/>
            </w:tcMar>
            <w:shd w:fill="F1F5F7"/>
            <w:vAlign w:val="center"/>
          </w:tcPr>
          <w:p>
            <w:pPr>
              <w:spacing w:after="20" w:before="20"/>
            </w:pPr>
            <w:r>
              <w:rPr>
                <w:sz w:val="19"/>
              </w:rPr>
              <w:t>A2</w:t>
            </w:r>
          </w:p>
        </w:tc>
        <w:tc>
          <w:tcPr>
            <w:tcW w:type="dxa" w:w="1944"/>
            <w:tcBorders>
              <w:top w:val="single" w:sz="4" w:color="D9D9D9"/>
              <w:left w:val="single" w:sz="4" w:color="D9D9D9"/>
              <w:bottom w:val="single" w:sz="4" w:color="D9D9D9"/>
              <w:right w:val="single" w:sz="4" w:color="D9D9D9"/>
            </w:tcBorders>
            <w:tcMar>
              <w:top w:w="75" w:type="dxa"/>
              <w:left w:w="75" w:type="dxa"/>
              <w:bottom w:w="75" w:type="dxa"/>
              <w:right w:w="75" w:type="dxa"/>
            </w:tcMar>
            <w:shd w:fill="F1F5F7"/>
            <w:vAlign w:val="center"/>
          </w:tcPr>
          <w:p>
            <w:pPr>
              <w:spacing w:after="20" w:before="20"/>
            </w:pPr>
            <w:r>
              <w:rPr>
                <w:sz w:val="19"/>
              </w:rPr>
              <w:t>A 2, 3</w:t>
            </w:r>
          </w:p>
        </w:tc>
        <w:tc>
          <w:tcPr>
            <w:tcW w:type="dxa" w:w="1008"/>
            <w:tcBorders>
              <w:top w:val="single" w:sz="4" w:color="D9D9D9"/>
              <w:left w:val="single" w:sz="4" w:color="D9D9D9"/>
              <w:bottom w:val="single" w:sz="4" w:color="D9D9D9"/>
              <w:right w:val="single" w:sz="4" w:color="D9D9D9"/>
            </w:tcBorders>
            <w:tcMar>
              <w:top w:w="75" w:type="dxa"/>
              <w:left w:w="75" w:type="dxa"/>
              <w:bottom w:w="75" w:type="dxa"/>
              <w:right w:w="75" w:type="dxa"/>
            </w:tcMar>
            <w:shd w:fill="F1F5F7"/>
            <w:vAlign w:val="center"/>
          </w:tcPr>
          <w:p>
            <w:pPr>
              <w:spacing w:after="20" w:before="20"/>
            </w:pPr>
            <w:r>
              <w:rPr>
                <w:sz w:val="19"/>
              </w:rPr>
              <w:t>31–32</w:t>
            </w:r>
          </w:p>
        </w:tc>
        <w:tc>
          <w:tcPr>
            <w:tcW w:type="dxa" w:w="6408"/>
            <w:tcBorders>
              <w:top w:val="single" w:sz="4" w:color="D9D9D9"/>
              <w:left w:val="single" w:sz="4" w:color="D9D9D9"/>
              <w:bottom w:val="single" w:sz="4" w:color="D9D9D9"/>
              <w:right w:val="single" w:sz="4" w:color="D9D9D9"/>
            </w:tcBorders>
            <w:tcMar>
              <w:top w:w="75" w:type="dxa"/>
              <w:left w:w="75" w:type="dxa"/>
              <w:bottom w:w="75" w:type="dxa"/>
              <w:right w:w="75" w:type="dxa"/>
            </w:tcMar>
            <w:shd w:fill="F1F5F7"/>
            <w:vAlign w:val="center"/>
          </w:tcPr>
          <w:p>
            <w:pPr>
              <w:spacing w:after="20" w:before="20"/>
            </w:pPr>
            <w:r>
              <w:rPr>
                <w:sz w:val="19"/>
              </w:rPr>
              <w:t>Balanced particles/equation and atom account</w:t>
            </w:r>
          </w:p>
        </w:tc>
      </w:tr>
      <w:tr>
        <w:trPr>
          <w:cantSplit/>
        </w:trPr>
        <w:tc>
          <w:tcPr>
            <w:tcW w:type="dxa" w:w="720"/>
            <w:tcBorders>
              <w:top w:val="single" w:sz="4" w:color="D9D9D9"/>
              <w:left w:val="single" w:sz="4" w:color="D9D9D9"/>
              <w:bottom w:val="single" w:sz="4" w:color="D9D9D9"/>
              <w:right w:val="single" w:sz="4" w:color="D9D9D9"/>
            </w:tcBorders>
            <w:tcMar>
              <w:top w:w="75" w:type="dxa"/>
              <w:left w:w="75" w:type="dxa"/>
              <w:bottom w:w="75" w:type="dxa"/>
              <w:right w:w="75" w:type="dxa"/>
            </w:tcMar>
            <w:shd w:fill="FFFFFF"/>
            <w:vAlign w:val="center"/>
          </w:tcPr>
          <w:p>
            <w:pPr>
              <w:spacing w:after="20" w:before="20"/>
            </w:pPr>
            <w:r>
              <w:rPr>
                <w:sz w:val="19"/>
              </w:rPr>
              <w:t>B1</w:t>
            </w:r>
          </w:p>
        </w:tc>
        <w:tc>
          <w:tcPr>
            <w:tcW w:type="dxa" w:w="1944"/>
            <w:tcBorders>
              <w:top w:val="single" w:sz="4" w:color="D9D9D9"/>
              <w:left w:val="single" w:sz="4" w:color="D9D9D9"/>
              <w:bottom w:val="single" w:sz="4" w:color="D9D9D9"/>
              <w:right w:val="single" w:sz="4" w:color="D9D9D9"/>
            </w:tcBorders>
            <w:tcMar>
              <w:top w:w="75" w:type="dxa"/>
              <w:left w:w="75" w:type="dxa"/>
              <w:bottom w:w="75" w:type="dxa"/>
              <w:right w:w="75" w:type="dxa"/>
            </w:tcMar>
            <w:shd w:fill="FFFFFF"/>
            <w:vAlign w:val="center"/>
          </w:tcPr>
          <w:p>
            <w:pPr>
              <w:spacing w:after="20" w:before="20"/>
            </w:pPr>
            <w:r>
              <w:rPr>
                <w:sz w:val="19"/>
              </w:rPr>
              <w:t>B 1–3</w:t>
            </w:r>
          </w:p>
        </w:tc>
        <w:tc>
          <w:tcPr>
            <w:tcW w:type="dxa" w:w="1008"/>
            <w:tcBorders>
              <w:top w:val="single" w:sz="4" w:color="D9D9D9"/>
              <w:left w:val="single" w:sz="4" w:color="D9D9D9"/>
              <w:bottom w:val="single" w:sz="4" w:color="D9D9D9"/>
              <w:right w:val="single" w:sz="4" w:color="D9D9D9"/>
            </w:tcBorders>
            <w:tcMar>
              <w:top w:w="75" w:type="dxa"/>
              <w:left w:w="75" w:type="dxa"/>
              <w:bottom w:w="75" w:type="dxa"/>
              <w:right w:w="75" w:type="dxa"/>
            </w:tcMar>
            <w:shd w:fill="FFFFFF"/>
            <w:vAlign w:val="center"/>
          </w:tcPr>
          <w:p>
            <w:pPr>
              <w:spacing w:after="20" w:before="20"/>
            </w:pPr>
            <w:r>
              <w:rPr>
                <w:sz w:val="19"/>
              </w:rPr>
              <w:t>36–37</w:t>
            </w:r>
          </w:p>
        </w:tc>
        <w:tc>
          <w:tcPr>
            <w:tcW w:type="dxa" w:w="6408"/>
            <w:tcBorders>
              <w:top w:val="single" w:sz="4" w:color="D9D9D9"/>
              <w:left w:val="single" w:sz="4" w:color="D9D9D9"/>
              <w:bottom w:val="single" w:sz="4" w:color="D9D9D9"/>
              <w:right w:val="single" w:sz="4" w:color="D9D9D9"/>
            </w:tcBorders>
            <w:tcMar>
              <w:top w:w="75" w:type="dxa"/>
              <w:left w:w="75" w:type="dxa"/>
              <w:bottom w:w="75" w:type="dxa"/>
              <w:right w:w="75" w:type="dxa"/>
            </w:tcMar>
            <w:shd w:fill="FFFFFF"/>
            <w:vAlign w:val="center"/>
          </w:tcPr>
          <w:p>
            <w:pPr>
              <w:spacing w:after="20" w:before="20"/>
            </w:pPr>
            <w:r>
              <w:rPr>
                <w:sz w:val="19"/>
              </w:rPr>
              <w:t>Energy chain and complete account</w:t>
            </w:r>
          </w:p>
        </w:tc>
      </w:tr>
      <w:tr>
        <w:trPr>
          <w:cantSplit/>
        </w:trPr>
        <w:tc>
          <w:tcPr>
            <w:tcW w:type="dxa" w:w="720"/>
            <w:tcBorders>
              <w:top w:val="single" w:sz="4" w:color="D9D9D9"/>
              <w:left w:val="single" w:sz="4" w:color="D9D9D9"/>
              <w:bottom w:val="single" w:sz="4" w:color="D9D9D9"/>
              <w:right w:val="single" w:sz="4" w:color="D9D9D9"/>
            </w:tcBorders>
            <w:tcMar>
              <w:top w:w="75" w:type="dxa"/>
              <w:left w:w="75" w:type="dxa"/>
              <w:bottom w:w="75" w:type="dxa"/>
              <w:right w:w="75" w:type="dxa"/>
            </w:tcMar>
            <w:shd w:fill="F1F5F7"/>
            <w:vAlign w:val="center"/>
          </w:tcPr>
          <w:p>
            <w:pPr>
              <w:spacing w:after="20" w:before="20"/>
            </w:pPr>
            <w:r>
              <w:rPr>
                <w:sz w:val="19"/>
              </w:rPr>
              <w:t>B2</w:t>
            </w:r>
          </w:p>
        </w:tc>
        <w:tc>
          <w:tcPr>
            <w:tcW w:type="dxa" w:w="1944"/>
            <w:tcBorders>
              <w:top w:val="single" w:sz="4" w:color="D9D9D9"/>
              <w:left w:val="single" w:sz="4" w:color="D9D9D9"/>
              <w:bottom w:val="single" w:sz="4" w:color="D9D9D9"/>
              <w:right w:val="single" w:sz="4" w:color="D9D9D9"/>
            </w:tcBorders>
            <w:tcMar>
              <w:top w:w="75" w:type="dxa"/>
              <w:left w:w="75" w:type="dxa"/>
              <w:bottom w:w="75" w:type="dxa"/>
              <w:right w:w="75" w:type="dxa"/>
            </w:tcMar>
            <w:shd w:fill="F1F5F7"/>
            <w:vAlign w:val="center"/>
          </w:tcPr>
          <w:p>
            <w:pPr>
              <w:spacing w:after="20" w:before="20"/>
            </w:pPr>
            <w:r>
              <w:rPr>
                <w:sz w:val="19"/>
              </w:rPr>
              <w:t>B 2</w:t>
            </w:r>
          </w:p>
        </w:tc>
        <w:tc>
          <w:tcPr>
            <w:tcW w:type="dxa" w:w="1008"/>
            <w:tcBorders>
              <w:top w:val="single" w:sz="4" w:color="D9D9D9"/>
              <w:left w:val="single" w:sz="4" w:color="D9D9D9"/>
              <w:bottom w:val="single" w:sz="4" w:color="D9D9D9"/>
              <w:right w:val="single" w:sz="4" w:color="D9D9D9"/>
            </w:tcBorders>
            <w:tcMar>
              <w:top w:w="75" w:type="dxa"/>
              <w:left w:w="75" w:type="dxa"/>
              <w:bottom w:w="75" w:type="dxa"/>
              <w:right w:w="75" w:type="dxa"/>
            </w:tcMar>
            <w:shd w:fill="F1F5F7"/>
            <w:vAlign w:val="center"/>
          </w:tcPr>
          <w:p>
            <w:pPr>
              <w:spacing w:after="20" w:before="20"/>
            </w:pPr>
            <w:r>
              <w:rPr>
                <w:sz w:val="19"/>
              </w:rPr>
              <w:t>37</w:t>
            </w:r>
          </w:p>
        </w:tc>
        <w:tc>
          <w:tcPr>
            <w:tcW w:type="dxa" w:w="6408"/>
            <w:tcBorders>
              <w:top w:val="single" w:sz="4" w:color="D9D9D9"/>
              <w:left w:val="single" w:sz="4" w:color="D9D9D9"/>
              <w:bottom w:val="single" w:sz="4" w:color="D9D9D9"/>
              <w:right w:val="single" w:sz="4" w:color="D9D9D9"/>
            </w:tcBorders>
            <w:tcMar>
              <w:top w:w="75" w:type="dxa"/>
              <w:left w:w="75" w:type="dxa"/>
              <w:bottom w:w="75" w:type="dxa"/>
              <w:right w:w="75" w:type="dxa"/>
            </w:tcMar>
            <w:shd w:fill="F1F5F7"/>
            <w:vAlign w:val="center"/>
          </w:tcPr>
          <w:p>
            <w:pPr>
              <w:spacing w:after="20" w:before="20"/>
            </w:pPr>
            <w:r>
              <w:rPr>
                <w:sz w:val="19"/>
              </w:rPr>
              <w:t>Energy plan, units and decision</w:t>
            </w:r>
          </w:p>
        </w:tc>
      </w:tr>
      <w:tr>
        <w:trPr>
          <w:cantSplit/>
        </w:trPr>
        <w:tc>
          <w:tcPr>
            <w:tcW w:type="dxa" w:w="720"/>
            <w:tcBorders>
              <w:top w:val="single" w:sz="4" w:color="D9D9D9"/>
              <w:left w:val="single" w:sz="4" w:color="D9D9D9"/>
              <w:bottom w:val="single" w:sz="4" w:color="D9D9D9"/>
              <w:right w:val="single" w:sz="4" w:color="D9D9D9"/>
            </w:tcBorders>
            <w:tcMar>
              <w:top w:w="75" w:type="dxa"/>
              <w:left w:w="75" w:type="dxa"/>
              <w:bottom w:w="75" w:type="dxa"/>
              <w:right w:w="75" w:type="dxa"/>
            </w:tcMar>
            <w:shd w:fill="FFFFFF"/>
            <w:vAlign w:val="center"/>
          </w:tcPr>
          <w:p>
            <w:pPr>
              <w:spacing w:after="20" w:before="20"/>
            </w:pPr>
            <w:r>
              <w:rPr>
                <w:sz w:val="19"/>
              </w:rPr>
              <w:t>C1</w:t>
            </w:r>
          </w:p>
        </w:tc>
        <w:tc>
          <w:tcPr>
            <w:tcW w:type="dxa" w:w="1944"/>
            <w:tcBorders>
              <w:top w:val="single" w:sz="4" w:color="D9D9D9"/>
              <w:left w:val="single" w:sz="4" w:color="D9D9D9"/>
              <w:bottom w:val="single" w:sz="4" w:color="D9D9D9"/>
              <w:right w:val="single" w:sz="4" w:color="D9D9D9"/>
            </w:tcBorders>
            <w:tcMar>
              <w:top w:w="75" w:type="dxa"/>
              <w:left w:w="75" w:type="dxa"/>
              <w:bottom w:w="75" w:type="dxa"/>
              <w:right w:w="75" w:type="dxa"/>
            </w:tcMar>
            <w:shd w:fill="FFFFFF"/>
            <w:vAlign w:val="center"/>
          </w:tcPr>
          <w:p>
            <w:pPr>
              <w:spacing w:after="20" w:before="20"/>
            </w:pPr>
            <w:r>
              <w:rPr>
                <w:sz w:val="19"/>
              </w:rPr>
              <w:t>C 1–3, 5</w:t>
            </w:r>
          </w:p>
        </w:tc>
        <w:tc>
          <w:tcPr>
            <w:tcW w:type="dxa" w:w="1008"/>
            <w:tcBorders>
              <w:top w:val="single" w:sz="4" w:color="D9D9D9"/>
              <w:left w:val="single" w:sz="4" w:color="D9D9D9"/>
              <w:bottom w:val="single" w:sz="4" w:color="D9D9D9"/>
              <w:right w:val="single" w:sz="4" w:color="D9D9D9"/>
            </w:tcBorders>
            <w:tcMar>
              <w:top w:w="75" w:type="dxa"/>
              <w:left w:w="75" w:type="dxa"/>
              <w:bottom w:w="75" w:type="dxa"/>
              <w:right w:w="75" w:type="dxa"/>
            </w:tcMar>
            <w:shd w:fill="FFFFFF"/>
            <w:vAlign w:val="center"/>
          </w:tcPr>
          <w:p>
            <w:pPr>
              <w:spacing w:after="20" w:before="20"/>
            </w:pPr>
            <w:r>
              <w:rPr>
                <w:sz w:val="19"/>
              </w:rPr>
              <w:t>42–43</w:t>
            </w:r>
          </w:p>
        </w:tc>
        <w:tc>
          <w:tcPr>
            <w:tcW w:type="dxa" w:w="6408"/>
            <w:tcBorders>
              <w:top w:val="single" w:sz="4" w:color="D9D9D9"/>
              <w:left w:val="single" w:sz="4" w:color="D9D9D9"/>
              <w:bottom w:val="single" w:sz="4" w:color="D9D9D9"/>
              <w:right w:val="single" w:sz="4" w:color="D9D9D9"/>
            </w:tcBorders>
            <w:tcMar>
              <w:top w:w="75" w:type="dxa"/>
              <w:left w:w="75" w:type="dxa"/>
              <w:bottom w:w="75" w:type="dxa"/>
              <w:right w:w="75" w:type="dxa"/>
            </w:tcMar>
            <w:shd w:fill="FFFFFF"/>
            <w:vAlign w:val="center"/>
          </w:tcPr>
          <w:p>
            <w:pPr>
              <w:spacing w:after="20" w:before="20"/>
            </w:pPr>
            <w:r>
              <w:rPr>
                <w:sz w:val="19"/>
              </w:rPr>
              <w:t>Route-specific measures and defence explanation</w:t>
            </w:r>
          </w:p>
        </w:tc>
      </w:tr>
      <w:tr>
        <w:trPr>
          <w:cantSplit/>
        </w:trPr>
        <w:tc>
          <w:tcPr>
            <w:tcW w:type="dxa" w:w="720"/>
            <w:tcBorders>
              <w:top w:val="single" w:sz="4" w:color="D9D9D9"/>
              <w:left w:val="single" w:sz="4" w:color="D9D9D9"/>
              <w:bottom w:val="single" w:sz="4" w:color="D9D9D9"/>
              <w:right w:val="single" w:sz="4" w:color="D9D9D9"/>
            </w:tcBorders>
            <w:tcMar>
              <w:top w:w="75" w:type="dxa"/>
              <w:left w:w="75" w:type="dxa"/>
              <w:bottom w:w="75" w:type="dxa"/>
              <w:right w:w="75" w:type="dxa"/>
            </w:tcMar>
            <w:shd w:fill="F1F5F7"/>
            <w:vAlign w:val="center"/>
          </w:tcPr>
          <w:p>
            <w:pPr>
              <w:spacing w:after="20" w:before="20"/>
            </w:pPr>
            <w:r>
              <w:rPr>
                <w:sz w:val="19"/>
              </w:rPr>
              <w:t>C2</w:t>
            </w:r>
          </w:p>
        </w:tc>
        <w:tc>
          <w:tcPr>
            <w:tcW w:type="dxa" w:w="1944"/>
            <w:tcBorders>
              <w:top w:val="single" w:sz="4" w:color="D9D9D9"/>
              <w:left w:val="single" w:sz="4" w:color="D9D9D9"/>
              <w:bottom w:val="single" w:sz="4" w:color="D9D9D9"/>
              <w:right w:val="single" w:sz="4" w:color="D9D9D9"/>
            </w:tcBorders>
            <w:tcMar>
              <w:top w:w="75" w:type="dxa"/>
              <w:left w:w="75" w:type="dxa"/>
              <w:bottom w:w="75" w:type="dxa"/>
              <w:right w:w="75" w:type="dxa"/>
            </w:tcMar>
            <w:shd w:fill="F1F5F7"/>
            <w:vAlign w:val="center"/>
          </w:tcPr>
          <w:p>
            <w:pPr>
              <w:spacing w:after="20" w:before="20"/>
            </w:pPr>
            <w:r>
              <w:rPr>
                <w:sz w:val="19"/>
              </w:rPr>
              <w:t>C 4</w:t>
            </w:r>
          </w:p>
        </w:tc>
        <w:tc>
          <w:tcPr>
            <w:tcW w:type="dxa" w:w="1008"/>
            <w:tcBorders>
              <w:top w:val="single" w:sz="4" w:color="D9D9D9"/>
              <w:left w:val="single" w:sz="4" w:color="D9D9D9"/>
              <w:bottom w:val="single" w:sz="4" w:color="D9D9D9"/>
              <w:right w:val="single" w:sz="4" w:color="D9D9D9"/>
            </w:tcBorders>
            <w:tcMar>
              <w:top w:w="75" w:type="dxa"/>
              <w:left w:w="75" w:type="dxa"/>
              <w:bottom w:w="75" w:type="dxa"/>
              <w:right w:w="75" w:type="dxa"/>
            </w:tcMar>
            <w:shd w:fill="F1F5F7"/>
            <w:vAlign w:val="center"/>
          </w:tcPr>
          <w:p>
            <w:pPr>
              <w:spacing w:after="20" w:before="20"/>
            </w:pPr>
            <w:r>
              <w:rPr>
                <w:sz w:val="19"/>
              </w:rPr>
              <w:t>43</w:t>
            </w:r>
          </w:p>
        </w:tc>
        <w:tc>
          <w:tcPr>
            <w:tcW w:type="dxa" w:w="6408"/>
            <w:tcBorders>
              <w:top w:val="single" w:sz="4" w:color="D9D9D9"/>
              <w:left w:val="single" w:sz="4" w:color="D9D9D9"/>
              <w:bottom w:val="single" w:sz="4" w:color="D9D9D9"/>
              <w:right w:val="single" w:sz="4" w:color="D9D9D9"/>
            </w:tcBorders>
            <w:tcMar>
              <w:top w:w="75" w:type="dxa"/>
              <w:left w:w="75" w:type="dxa"/>
              <w:bottom w:w="75" w:type="dxa"/>
              <w:right w:w="75" w:type="dxa"/>
            </w:tcMar>
            <w:shd w:fill="F1F5F7"/>
            <w:vAlign w:val="center"/>
          </w:tcPr>
          <w:p>
            <w:pPr>
              <w:spacing w:after="20" w:before="20"/>
            </w:pPr>
            <w:r>
              <w:rPr>
                <w:sz w:val="19"/>
              </w:rPr>
              <w:t>Possible genotypes, cross and uncertainty</w:t>
            </w:r>
          </w:p>
        </w:tc>
      </w:tr>
      <w:tr>
        <w:trPr>
          <w:cantSplit/>
        </w:trPr>
        <w:tc>
          <w:tcPr>
            <w:tcW w:type="dxa" w:w="720"/>
            <w:tcBorders>
              <w:top w:val="single" w:sz="4" w:color="D9D9D9"/>
              <w:left w:val="single" w:sz="4" w:color="D9D9D9"/>
              <w:bottom w:val="single" w:sz="4" w:color="D9D9D9"/>
              <w:right w:val="single" w:sz="4" w:color="D9D9D9"/>
            </w:tcBorders>
            <w:tcMar>
              <w:top w:w="75" w:type="dxa"/>
              <w:left w:w="75" w:type="dxa"/>
              <w:bottom w:w="75" w:type="dxa"/>
              <w:right w:w="75" w:type="dxa"/>
            </w:tcMar>
            <w:shd w:fill="FFFFFF"/>
            <w:vAlign w:val="center"/>
          </w:tcPr>
          <w:p>
            <w:pPr>
              <w:spacing w:after="20" w:before="20"/>
            </w:pPr>
            <w:r>
              <w:rPr>
                <w:sz w:val="19"/>
              </w:rPr>
              <w:t>D1</w:t>
            </w:r>
          </w:p>
        </w:tc>
        <w:tc>
          <w:tcPr>
            <w:tcW w:type="dxa" w:w="1944"/>
            <w:tcBorders>
              <w:top w:val="single" w:sz="4" w:color="D9D9D9"/>
              <w:left w:val="single" w:sz="4" w:color="D9D9D9"/>
              <w:bottom w:val="single" w:sz="4" w:color="D9D9D9"/>
              <w:right w:val="single" w:sz="4" w:color="D9D9D9"/>
            </w:tcBorders>
            <w:tcMar>
              <w:top w:w="75" w:type="dxa"/>
              <w:left w:w="75" w:type="dxa"/>
              <w:bottom w:w="75" w:type="dxa"/>
              <w:right w:w="75" w:type="dxa"/>
            </w:tcMar>
            <w:shd w:fill="FFFFFF"/>
            <w:vAlign w:val="center"/>
          </w:tcPr>
          <w:p>
            <w:pPr>
              <w:spacing w:after="20" w:before="20"/>
            </w:pPr>
            <w:r>
              <w:rPr>
                <w:sz w:val="19"/>
              </w:rPr>
              <w:t>D 1, 2</w:t>
            </w:r>
          </w:p>
        </w:tc>
        <w:tc>
          <w:tcPr>
            <w:tcW w:type="dxa" w:w="1008"/>
            <w:tcBorders>
              <w:top w:val="single" w:sz="4" w:color="D9D9D9"/>
              <w:left w:val="single" w:sz="4" w:color="D9D9D9"/>
              <w:bottom w:val="single" w:sz="4" w:color="D9D9D9"/>
              <w:right w:val="single" w:sz="4" w:color="D9D9D9"/>
            </w:tcBorders>
            <w:tcMar>
              <w:top w:w="75" w:type="dxa"/>
              <w:left w:w="75" w:type="dxa"/>
              <w:bottom w:w="75" w:type="dxa"/>
              <w:right w:w="75" w:type="dxa"/>
            </w:tcMar>
            <w:shd w:fill="FFFFFF"/>
            <w:vAlign w:val="center"/>
          </w:tcPr>
          <w:p>
            <w:pPr>
              <w:spacing w:after="20" w:before="20"/>
            </w:pPr>
            <w:r>
              <w:rPr>
                <w:sz w:val="19"/>
              </w:rPr>
              <w:t>48</w:t>
            </w:r>
          </w:p>
        </w:tc>
        <w:tc>
          <w:tcPr>
            <w:tcW w:type="dxa" w:w="6408"/>
            <w:tcBorders>
              <w:top w:val="single" w:sz="4" w:color="D9D9D9"/>
              <w:left w:val="single" w:sz="4" w:color="D9D9D9"/>
              <w:bottom w:val="single" w:sz="4" w:color="D9D9D9"/>
              <w:right w:val="single" w:sz="4" w:color="D9D9D9"/>
            </w:tcBorders>
            <w:tcMar>
              <w:top w:w="75" w:type="dxa"/>
              <w:left w:w="75" w:type="dxa"/>
              <w:bottom w:w="75" w:type="dxa"/>
              <w:right w:w="75" w:type="dxa"/>
            </w:tcMar>
            <w:shd w:fill="FFFFFF"/>
            <w:vAlign w:val="center"/>
          </w:tcPr>
          <w:p>
            <w:pPr>
              <w:spacing w:after="20" w:before="20"/>
            </w:pPr>
            <w:r>
              <w:rPr>
                <w:sz w:val="19"/>
              </w:rPr>
              <w:t>Stopping calculation and graph reading</w:t>
            </w:r>
          </w:p>
        </w:tc>
      </w:tr>
      <w:tr>
        <w:trPr>
          <w:cantSplit/>
        </w:trPr>
        <w:tc>
          <w:tcPr>
            <w:tcW w:type="dxa" w:w="720"/>
            <w:tcBorders>
              <w:top w:val="single" w:sz="4" w:color="D9D9D9"/>
              <w:left w:val="single" w:sz="4" w:color="D9D9D9"/>
              <w:bottom w:val="single" w:sz="4" w:color="D9D9D9"/>
              <w:right w:val="single" w:sz="4" w:color="D9D9D9"/>
            </w:tcBorders>
            <w:tcMar>
              <w:top w:w="75" w:type="dxa"/>
              <w:left w:w="75" w:type="dxa"/>
              <w:bottom w:w="75" w:type="dxa"/>
              <w:right w:w="75" w:type="dxa"/>
            </w:tcMar>
            <w:shd w:fill="F1F5F7"/>
            <w:vAlign w:val="center"/>
          </w:tcPr>
          <w:p>
            <w:pPr>
              <w:spacing w:after="20" w:before="20"/>
            </w:pPr>
            <w:r>
              <w:rPr>
                <w:sz w:val="19"/>
              </w:rPr>
              <w:t>D2</w:t>
            </w:r>
          </w:p>
        </w:tc>
        <w:tc>
          <w:tcPr>
            <w:tcW w:type="dxa" w:w="1944"/>
            <w:tcBorders>
              <w:top w:val="single" w:sz="4" w:color="D9D9D9"/>
              <w:left w:val="single" w:sz="4" w:color="D9D9D9"/>
              <w:bottom w:val="single" w:sz="4" w:color="D9D9D9"/>
              <w:right w:val="single" w:sz="4" w:color="D9D9D9"/>
            </w:tcBorders>
            <w:tcMar>
              <w:top w:w="75" w:type="dxa"/>
              <w:left w:w="75" w:type="dxa"/>
              <w:bottom w:w="75" w:type="dxa"/>
              <w:right w:w="75" w:type="dxa"/>
            </w:tcMar>
            <w:shd w:fill="F1F5F7"/>
            <w:vAlign w:val="center"/>
          </w:tcPr>
          <w:p>
            <w:pPr>
              <w:spacing w:after="20" w:before="20"/>
            </w:pPr>
            <w:r>
              <w:rPr>
                <w:sz w:val="19"/>
              </w:rPr>
              <w:t>D 3, 4</w:t>
            </w:r>
          </w:p>
        </w:tc>
        <w:tc>
          <w:tcPr>
            <w:tcW w:type="dxa" w:w="1008"/>
            <w:tcBorders>
              <w:top w:val="single" w:sz="4" w:color="D9D9D9"/>
              <w:left w:val="single" w:sz="4" w:color="D9D9D9"/>
              <w:bottom w:val="single" w:sz="4" w:color="D9D9D9"/>
              <w:right w:val="single" w:sz="4" w:color="D9D9D9"/>
            </w:tcBorders>
            <w:tcMar>
              <w:top w:w="75" w:type="dxa"/>
              <w:left w:w="75" w:type="dxa"/>
              <w:bottom w:w="75" w:type="dxa"/>
              <w:right w:w="75" w:type="dxa"/>
            </w:tcMar>
            <w:shd w:fill="F1F5F7"/>
            <w:vAlign w:val="center"/>
          </w:tcPr>
          <w:p>
            <w:pPr>
              <w:spacing w:after="20" w:before="20"/>
            </w:pPr>
            <w:r>
              <w:rPr>
                <w:sz w:val="19"/>
              </w:rPr>
              <w:t>49</w:t>
            </w:r>
          </w:p>
        </w:tc>
        <w:tc>
          <w:tcPr>
            <w:tcW w:type="dxa" w:w="6408"/>
            <w:tcBorders>
              <w:top w:val="single" w:sz="4" w:color="D9D9D9"/>
              <w:left w:val="single" w:sz="4" w:color="D9D9D9"/>
              <w:bottom w:val="single" w:sz="4" w:color="D9D9D9"/>
              <w:right w:val="single" w:sz="4" w:color="D9D9D9"/>
            </w:tcBorders>
            <w:tcMar>
              <w:top w:w="75" w:type="dxa"/>
              <w:left w:w="75" w:type="dxa"/>
              <w:bottom w:w="75" w:type="dxa"/>
              <w:right w:w="75" w:type="dxa"/>
            </w:tcMar>
            <w:shd w:fill="F1F5F7"/>
            <w:vAlign w:val="center"/>
          </w:tcPr>
          <w:p>
            <w:pPr>
              <w:spacing w:after="20" w:before="20"/>
            </w:pPr>
            <w:r>
              <w:rPr>
                <w:sz w:val="19"/>
              </w:rPr>
              <w:t>Momentum/force account and design explanation</w:t>
            </w:r>
          </w:p>
        </w:tc>
      </w:tr>
    </w:tbl>
    <w:p>
      <w:pPr>
        <w:pStyle w:val="Heading2"/>
      </w:pPr>
      <w:r>
        <w:t>Alignment does not mean full coverage</w:t>
      </w:r>
    </w:p>
    <w:p>
      <w:r>
        <w:t>Some listed outcomes are addressed only in selected parts. A1’s environmental application, C1’s broader health context and D2’s design interpretation need authored cases and teacher review. A game earns a coverage claim only when a specific round teaches the concept and a specific independent response provides evidence.</w:t>
      </w:r>
    </w:p>
    <w:p>
      <w:pPr>
        <w:pStyle w:val="Heading2"/>
      </w:pPr>
      <w:r>
        <w:t>Known source gaps</w:t>
      </w:r>
    </w:p>
    <w:p>
      <w:pPr>
        <w:pStyle w:val="ListBullet"/>
      </w:pPr>
      <w:r>
        <w:t>No fresh inspection of the currently deployed A–D builds was performed for this brief. Current source files and course behaviour may differ from the dated review.</w:t>
      </w:r>
    </w:p>
    <w:p>
      <w:pPr>
        <w:pStyle w:val="ListBullet"/>
      </w:pPr>
      <w:r>
        <w:t>Exact insertion points, lesson IDs, source editions and existing assessments have not been re-mapped. Do that before replacing or attaching course work.</w:t>
      </w:r>
    </w:p>
    <w:p>
      <w:pPr>
        <w:pStyle w:val="ListBullet"/>
      </w:pPr>
      <w:r>
        <w:t>The earlier review flagged a pedigree-source error. This brief uses new, explicitly stated examples and does not assume the old problem is still present or repaired.</w:t>
      </w:r>
    </w:p>
    <w:p>
      <w:pPr>
        <w:pStyle w:val="ListBullet"/>
      </w:pPr>
      <w:r>
        <w:t>Historical curriculum examples are not automatically current scientific guidance. Do not reproduce simple inheritance claims about complex human traits, or use outdated health categories without checking them.</w:t>
      </w:r>
    </w:p>
    <w:p>
      <w:pPr>
        <w:pStyle w:val="Heading2"/>
      </w:pPr>
      <w:r>
        <w:t>Provenance of this brief</w:t>
      </w:r>
    </w:p>
    <w:p>
      <w:r>
        <w:t>The game structures, scenario numbers, suggested production order and sample feedback are original planning proposals. S1 establishes course scope; S2–S8 support specific scientific checks; S9–S10 provide dated course-design context. No source can establish the effectiveness of these untested games. The companion manifest records this boundary.</w:t>
      </w:r>
    </w:p>
    <w:p>
      <w:r>
        <w:br w:type="page"/>
      </w:r>
    </w:p>
    <w:p>
      <w:pPr>
        <w:pStyle w:val="Heading1"/>
      </w:pPr>
      <w:r>
        <w:t>Sources and locators</w:t>
      </w:r>
    </w:p>
    <w:p>
      <w:r>
        <w:t>Web sources checked on 6 October 2026. Use the locators below to verify the scientific claims; the full source manifest is included in the starter package.</w:t>
      </w:r>
    </w:p>
    <w:p>
      <w:r>
        <w:rPr>
          <w:b/>
        </w:rPr>
        <w:t xml:space="preserve">S1 </w:t>
      </w:r>
      <w:r>
        <w:t>Alberta Education Science 14 and 24 Program of Studies</w:t>
      </w:r>
    </w:p>
    <w:p>
      <w:pPr>
        <w:spacing w:after="40"/>
      </w:pPr>
      <w:r>
        <w:t>Science 24: printed/PDF pp. 31–32, 36–37, 42–43 and 48–49. Curriculum alignment. Game designs and sample scenarios are new proposals, not prescribed activities.</w:t>
      </w:r>
    </w:p>
    <w:p>
      <w:hyperlink r:id="rId11">
        <w:r>
          <w:rPr>
            <w:color w:val="174B68"/>
          </w:rPr>
          <w:t>Open source</w:t>
        </w:r>
      </w:hyperlink>
    </w:p>
    <w:p>
      <w:r>
        <w:rPr>
          <w:b/>
        </w:rPr>
        <w:t xml:space="preserve">S2 </w:t>
      </w:r>
      <w:r>
        <w:t>OpenStax Chemistry 2e Writing and Balancing Chemical Equations</w:t>
      </w:r>
    </w:p>
    <w:p>
      <w:pPr>
        <w:spacing w:after="40"/>
      </w:pPr>
      <w:r>
        <w:t>Section 4.1, Balancing Equations. Atom conservation, coefficients and fixed substance formulas.</w:t>
      </w:r>
    </w:p>
    <w:p>
      <w:hyperlink r:id="rId12">
        <w:r>
          <w:rPr>
            <w:color w:val="174B68"/>
          </w:rPr>
          <w:t>Open source</w:t>
        </w:r>
      </w:hyperlink>
    </w:p>
    <w:p>
      <w:r>
        <w:rPr>
          <w:b/>
        </w:rPr>
        <w:t xml:space="preserve">S3 </w:t>
      </w:r>
      <w:r>
        <w:t>US Energy Information Administration Measuring electricity</w:t>
      </w:r>
    </w:p>
    <w:p>
      <w:pPr>
        <w:spacing w:after="40"/>
      </w:pPr>
      <w:r>
        <w:t>Electricity use over time is measured in Watthours. Power and energy units; kW multiplied by hours gives kWh.</w:t>
      </w:r>
    </w:p>
    <w:p>
      <w:hyperlink r:id="rId13">
        <w:r>
          <w:rPr>
            <w:color w:val="174B68"/>
          </w:rPr>
          <w:t>Open source</w:t>
        </w:r>
      </w:hyperlink>
    </w:p>
    <w:p>
      <w:r>
        <w:rPr>
          <w:b/>
        </w:rPr>
        <w:t xml:space="preserve">S4 </w:t>
      </w:r>
      <w:r>
        <w:t>Public Health Agency of Canada Break the chain of infection</w:t>
      </w:r>
    </w:p>
    <w:p>
      <w:pPr>
        <w:spacing w:after="40"/>
      </w:pPr>
      <w:r>
        <w:t>How germs travel; How germs enter; Break the chain. Transmission pathways and layered respiratory precautions, not numerical effectiveness estimates.</w:t>
      </w:r>
    </w:p>
    <w:p>
      <w:hyperlink r:id="rId14">
        <w:r>
          <w:rPr>
            <w:color w:val="174B68"/>
          </w:rPr>
          <w:t>Open source</w:t>
        </w:r>
      </w:hyperlink>
    </w:p>
    <w:p>
      <w:r>
        <w:rPr>
          <w:b/>
        </w:rPr>
        <w:t xml:space="preserve">S5 </w:t>
      </w:r>
      <w:r>
        <w:t>CDC Pink Book Principles of Vaccination</w:t>
      </w:r>
    </w:p>
    <w:p>
      <w:pPr>
        <w:spacing w:after="40"/>
      </w:pPr>
      <w:r>
        <w:t>Immunity; Active immunity. Active/passive immunity and immune memory; no vaccination schedule or treatment recommendations.</w:t>
      </w:r>
    </w:p>
    <w:p>
      <w:hyperlink r:id="rId15">
        <w:r>
          <w:rPr>
            <w:color w:val="174B68"/>
          </w:rPr>
          <w:t>Open source</w:t>
        </w:r>
      </w:hyperlink>
    </w:p>
    <w:p>
      <w:r>
        <w:rPr>
          <w:b/>
        </w:rPr>
        <w:t xml:space="preserve">S6 </w:t>
      </w:r>
      <w:r>
        <w:t>MedlinePlus Genetics Inheritance risk assessment</w:t>
      </w:r>
    </w:p>
    <w:p>
      <w:pPr>
        <w:spacing w:after="40"/>
      </w:pPr>
      <w:r>
        <w:t>Autosomal recessive inheritance; probability for each pregnancy. Simple inheritance probabilities and the independence of successive outcomes.</w:t>
      </w:r>
    </w:p>
    <w:p>
      <w:hyperlink r:id="rId16">
        <w:r>
          <w:rPr>
            <w:color w:val="174B68"/>
          </w:rPr>
          <w:t>Open source</w:t>
        </w:r>
      </w:hyperlink>
    </w:p>
    <w:p>
      <w:r>
        <w:rPr>
          <w:b/>
        </w:rPr>
        <w:t xml:space="preserve">S7 </w:t>
      </w:r>
      <w:r>
        <w:t>OpenStax Physics Linear Momentum Force and Impulse</w:t>
      </w:r>
    </w:p>
    <w:p>
      <w:pPr>
        <w:spacing w:after="40"/>
      </w:pPr>
      <w:r>
        <w:t>Momentum; Impulse; Force and momentum. Momentum change, impulse and average force.</w:t>
      </w:r>
    </w:p>
    <w:p>
      <w:hyperlink r:id="rId17">
        <w:r>
          <w:rPr>
            <w:color w:val="174B68"/>
          </w:rPr>
          <w:t>Open source</w:t>
        </w:r>
      </w:hyperlink>
    </w:p>
    <w:p>
      <w:r>
        <w:rPr>
          <w:b/>
        </w:rPr>
        <w:t xml:space="preserve">S8 </w:t>
      </w:r>
      <w:r>
        <w:t>OpenStax Physics Elastic and Inelastic Collisions</w:t>
      </w:r>
    </w:p>
    <w:p>
      <w:pPr>
        <w:spacing w:after="40"/>
      </w:pPr>
      <w:r>
        <w:t>Inelastic collisions. One-dimensional momentum accounting when objects stick together.</w:t>
      </w:r>
    </w:p>
    <w:p>
      <w:hyperlink r:id="rId18">
        <w:r>
          <w:rPr>
            <w:color w:val="174B68"/>
          </w:rPr>
          <w:t>Open source</w:t>
        </w:r>
      </w:hyperlink>
    </w:p>
    <w:p>
      <w:pPr>
        <w:pStyle w:val="Heading2"/>
      </w:pPr>
      <w:r>
        <w:t>Course context read</w:t>
      </w:r>
    </w:p>
    <w:p>
      <w:r>
        <w:rPr>
          <w:b/>
        </w:rPr>
        <w:t xml:space="preserve">S9 </w:t>
      </w:r>
      <w:r>
        <w:t>Science24 ABCD Independent Comparative Review (25 September 2026). Overall judgment; chapter-by-chapter instructional register. Dated course context: requests for learner-produced work and cautions about the reviewed genetics example. Does not establish the state of current builds.</w:t>
      </w:r>
    </w:p>
    <w:p>
      <w:r>
        <w:rPr>
          <w:b/>
        </w:rPr>
        <w:t xml:space="preserve">S10 </w:t>
      </w:r>
      <w:r>
        <w:t>Science24 Proposed Course Standard v0.1 (1 October 2026). Requirements every lesson must meet; teaching choices; observable acceptance tests; energy blueprint. Proposed teaching, feedback, accessibility and evidence principles. Its approval status is not inferred.</w:t>
      </w:r>
    </w:p>
    <w:p>
      <w:r>
        <w:t>These course documents are referenced for context, not redistributed in the package. Their titles and Library identities are recorded in the source manifest so they can be added to the project if needed.</w:t>
      </w:r>
    </w:p>
    <w:sectPr w:rsidR="00FC693F" w:rsidRPr="0006063C" w:rsidSect="00034616">
      <w:headerReference w:type="default" r:id="rId9"/>
      <w:footerReference w:type="default" r:id="rId10"/>
      <w:pgSz w:w="12240" w:h="15840"/>
      <w:pgMar w:top="893" w:right="1037" w:bottom="893" w:left="1037" w:header="360" w:footer="36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rPr>
        <w:sz w:val="16"/>
      </w:rPr>
      <w:t xml:space="preserve">6 October 2026  •  </w:t>
    </w:r>
    <w:fldSimple w:instr="PAGE"/>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r>
      <w:rPr>
        <w:color w:val="000000"/>
        <w:sz w:val="16"/>
      </w:rPr>
      <w:t>SCIENCE 24  |  GAME PROJECT BRIEF  |  WORKING DRAFT v0.1</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245" w:lineRule="auto"/>
    </w:pPr>
    <w:rPr>
      <w:rFonts w:ascii="Calibri" w:hAnsi="Calibri"/>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200"/>
      <w:outlineLvl w:val="0"/>
    </w:pPr>
    <w:rPr>
      <w:rFonts w:asciiTheme="majorHAnsi" w:eastAsiaTheme="majorEastAsia" w:hAnsiTheme="majorHAnsi" w:cstheme="majorBidi" w:ascii="Calibri" w:hAnsi="Calibri"/>
      <w:b/>
      <w:bCs/>
      <w:color w:val="000000"/>
      <w:sz w:val="38"/>
      <w:szCs w:val="28"/>
    </w:rPr>
  </w:style>
  <w:style w:type="paragraph" w:styleId="Heading2">
    <w:name w:val="heading 2"/>
    <w:basedOn w:val="Normal"/>
    <w:next w:val="Normal"/>
    <w:link w:val="Heading2Char"/>
    <w:uiPriority w:val="9"/>
    <w:unhideWhenUsed/>
    <w:qFormat/>
    <w:rsid w:val="00FC693F"/>
    <w:pPr>
      <w:keepNext/>
      <w:keepLines/>
      <w:spacing w:before="160" w:after="80"/>
      <w:outlineLvl w:val="1"/>
    </w:pPr>
    <w:rPr>
      <w:rFonts w:asciiTheme="majorHAnsi" w:eastAsiaTheme="majorEastAsia" w:hAnsiTheme="majorHAnsi" w:cstheme="majorBidi" w:ascii="Calibri" w:hAnsi="Calibri"/>
      <w:b/>
      <w:bCs/>
      <w:color w:val="000000"/>
      <w:sz w:val="24"/>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Calibri" w:hAnsi="Calibri"/>
      <w:b/>
      <w:bCs/>
      <w:color w:val="000000"/>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keepNext/>
      <w:spacing w:after="300" w:line="240" w:lineRule="auto"/>
      <w:contextualSpacing/>
    </w:pPr>
    <w:rPr>
      <w:rFonts w:asciiTheme="majorHAnsi" w:eastAsiaTheme="majorEastAsia" w:hAnsiTheme="majorHAnsi" w:cstheme="majorBidi" w:ascii="Calibri" w:hAnsi="Calibri"/>
      <w:color w:val="000000"/>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keepNext/>
      <w:numPr>
        <w:ilvl w:val="1"/>
      </w:numPr>
    </w:pPr>
    <w:rPr>
      <w:rFonts w:asciiTheme="majorHAnsi" w:eastAsiaTheme="majorEastAsia" w:hAnsiTheme="majorHAnsi" w:cstheme="majorBidi" w:ascii="Calibri" w:hAnsi="Calibri"/>
      <w:i w:val="0"/>
      <w:iCs/>
      <w:color w:val="000000"/>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hyperlink" Target="https://education.alberta.ca/media/159714/sc1424.pdf" TargetMode="External"/><Relationship Id="rId12" Type="http://schemas.openxmlformats.org/officeDocument/2006/relationships/hyperlink" Target="https://openstax.org/books/chemistry-2e/pages/4-1-writing-and-balancing-chemical-equations" TargetMode="External"/><Relationship Id="rId13" Type="http://schemas.openxmlformats.org/officeDocument/2006/relationships/hyperlink" Target="https://www.eia.gov/energyexplained/electricity/measuring-electricity.php" TargetMode="External"/><Relationship Id="rId14" Type="http://schemas.openxmlformats.org/officeDocument/2006/relationships/hyperlink" Target="https://www.canada.ca/en/public-health/services/publications/diseases-conditions/break-chain-infection-respiratory-infectious-diseases.html" TargetMode="External"/><Relationship Id="rId15" Type="http://schemas.openxmlformats.org/officeDocument/2006/relationships/hyperlink" Target="https://www.cdc.gov/pinkbook/hcp/table-of-contents/chapter-1-principles-of-vaccination.html" TargetMode="External"/><Relationship Id="rId16" Type="http://schemas.openxmlformats.org/officeDocument/2006/relationships/hyperlink" Target="https://medlineplus.gov/genetics/understanding/inheritance/riskassessment/" TargetMode="External"/><Relationship Id="rId17" Type="http://schemas.openxmlformats.org/officeDocument/2006/relationships/hyperlink" Target="https://openstax.org/books/physics/pages/8-1-linear-momentum-force-and-impulse" TargetMode="External"/><Relationship Id="rId18" Type="http://schemas.openxmlformats.org/officeDocument/2006/relationships/hyperlink" Target="https://openstax.org/books/physics/pages/8-3-elastic-and-inelastic-collisions"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Science 24 games project brief</dc:title>
  <dc:subject>Eight curriculum-aligned learning game concepts and a ChatGPT project starter</dc:subject>
  <dc:creator>Prepared for Dean</dc:creator>
  <cp:keywords>Science 24, Alberta, instructional games, project brief</cp:keywords>
  <dc:description>generated by python-docx</dc:description>
  <cp:lastModifiedBy/>
  <cp:revision>1</cp:revision>
  <dcterms:created xsi:type="dcterms:W3CDTF">2013-12-23T23:15:00Z</dcterms:created>
  <dcterms:modified xsi:type="dcterms:W3CDTF">2013-12-23T23:15:00Z</dcterms:modified>
  <cp:category/>
</cp:coreProperties>
</file>