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Oral Tradition</w:t>
      </w:r>
    </w:p>
    <w:p>
      <w:r>
        <w:t>Theme 1 - Aboriginal Rights &amp; Self-Government</w:t>
      </w:r>
    </w:p>
    <w:p>
      <w:r>
        <w:t>Storytelling is part of Aboriginal oral tradition. Based on what you have read, define oral tradition, explain its importance, and its purpose.</w:t>
      </w:r>
    </w:p>
    <w:p>
      <w:r>
        <w:t>Respond in paragraph form using the response criteria.</w:t>
      </w:r>
    </w:p>
    <w:p>
      <w:pPr>
        <w:pStyle w:val="Heading2"/>
      </w:pPr>
      <w:r>
        <w:t>Resources</w:t>
      </w:r>
    </w:p>
    <w:p>
      <w:r>
        <w:t>Critical Response Criteria Aboriginal Studies: critical-response-criteria.pdf (in the course library)</w:t>
      </w:r>
    </w:p>
    <w:p>
      <w:r>
        <w:t>Critical Response Rubric: critical-response-rubric.pdf (in the course library)</w:t>
      </w:r>
    </w:p>
    <w:p>
      <w:r>
        <w:t>Walking Together: The Oral Tradition: ./assets/theme-1/readings/indigenous-worldviews.pdf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