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Rebuilding Self-Government</w:t>
      </w:r>
    </w:p>
    <w:p>
      <w:r>
        <w:t>Theme 1 - Aboriginal Rights &amp; Self-Government</w:t>
      </w:r>
    </w:p>
    <w:p>
      <w:r>
        <w:t>Choose one of the 4 advantages of the self-government promises on page 98 and discuss reasons why you think this might be a good thing for a First Nation.</w:t>
      </w:r>
    </w:p>
    <w:p>
      <w:r>
        <w:t>Respond in paragraph form using the response criteria.</w:t>
      </w:r>
    </w:p>
    <w:p>
      <w:pPr>
        <w:pStyle w:val="Heading2"/>
      </w:pPr>
      <w:r>
        <w:t>Resources</w:t>
      </w:r>
    </w:p>
    <w:p>
      <w:r>
        <w:t>Critical Response Rubric: critical-response-rubric.pdf (in the course library)</w:t>
      </w:r>
    </w:p>
    <w:p>
      <w:r>
        <w:t>Critical Response Criteria Aboriginal Studies: critical-response-criteria.pdf (in the course library)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