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2.2 Specific Land Claims</w:t>
      </w:r>
    </w:p>
    <w:p>
      <w:r>
        <w:t>Theme 2 - Aboriginal Land Claims</w:t>
      </w:r>
    </w:p>
    <w:p>
      <w:r>
        <w:t>Respond in paragraph form using the response criteria. Using all the resources at your disposal, review TWO of the land claims from Alberta listed below.</w:t>
      </w:r>
    </w:p>
    <w:p>
      <w:r>
        <w:t xml:space="preserve">Lubicon Lake Cree Land Claim; Siksika (Blackfoot) Submission; Woodland Cree Settlement; Blood-Cardston Claim; Loon River Settlement; Peigan Nation Claim; Nakoda (Stoney) Submission.</w:t>
      </w:r>
    </w:p>
    <w:p>
      <w:r>
        <w:t>You may include the following elements:</w:t>
      </w:r>
    </w:p>
    <w:p>
      <w:pPr>
        <w:pStyle w:val="ListBullet"/>
      </w:pPr>
      <w:r>
        <w:t>The main events and issues of each claim</w:t>
      </w:r>
    </w:p>
    <w:p>
      <w:pPr>
        <w:pStyle w:val="ListBullet"/>
      </w:pPr>
      <w:r>
        <w:t>Include if, how and when they were settled</w:t>
      </w:r>
    </w:p>
    <w:p>
      <w:pPr>
        <w:pStyle w:val="ListBullet"/>
      </w:pPr>
      <w:r>
        <w:t>If they are not settled, explain why</w:t>
      </w:r>
    </w:p>
    <w:p>
      <w:pPr>
        <w:pStyle w:val="ListBullet"/>
      </w:pPr>
      <w:r>
        <w:t>A timeline of important events</w:t>
      </w:r>
    </w:p>
    <w:p>
      <w:pPr>
        <w:pStyle w:val="Heading2"/>
      </w:pPr>
      <w:r>
        <w:t>Resources</w:t>
      </w:r>
    </w:p>
    <w:p>
      <w:r>
        <w:t>Critical Response Criteria Aboriginal Studies: critical-response-criteria.pdf (in the course library)</w:t>
      </w:r>
    </w:p>
    <w:p>
      <w:r>
        <w:t>Critical Response Rubric: critical-response-rubric.pdf (in the course library)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