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3.1 Breaking Stereotypes</w:t>
      </w:r>
    </w:p>
    <w:p>
      <w:r>
        <w:t>Theme 3 - Aboriginal Peoples in Canadian Society</w:t>
      </w:r>
    </w:p>
    <w:p>
      <w:r>
        <w:t>Assignment 3.1 Breaking Stereotypes</w:t>
      </w:r>
    </w:p>
    <w:p>
      <w:r>
        <w:t>Take a moment to reflect on stereotypes and the harm they do. What are some realistic ways that we as a society, community and individuals can overcome and break stereotypes?</w:t>
      </w:r>
    </w:p>
    <w:p>
      <w:r>
        <w:t>Respond in paragraph form using the response criteria.</w:t>
      </w:r>
    </w:p>
    <w:p>
      <w:pPr>
        <w:pStyle w:val="Heading2"/>
      </w:pPr>
      <w:r>
        <w:t>Resources</w:t>
      </w:r>
    </w:p>
    <w:p>
      <w:r>
        <w:t>Critical Response Criteria Aboriginal Studies: critical-response-criteria.pdf (in the course library)</w:t>
      </w:r>
    </w:p>
    <w:p>
      <w:r>
        <w:t>Critical Response Rubric: critical-response-rubric.pdf (in the course library)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