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F252" w14:textId="77777777" w:rsidR="00604946" w:rsidRDefault="00604946">
      <w:pPr>
        <w:spacing w:after="80"/>
        <w:jc w:val="center"/>
        <w:rPr>
          <w:b/>
          <w:bCs/>
          <w:color w:val="D4AF37"/>
          <w:sz w:val="44"/>
          <w:szCs w:val="44"/>
        </w:rPr>
      </w:pPr>
    </w:p>
    <w:p w14:paraId="78CD600C" w14:textId="77777777" w:rsidR="00604946" w:rsidRDefault="00604946" w:rsidP="00604946">
      <w:pPr>
        <w:jc w:val="center"/>
      </w:pPr>
      <w:r>
        <w:rPr>
          <w:rFonts w:ascii="Calibri" w:eastAsia="Calibri" w:hAnsi="Calibri" w:cs="Calibri"/>
          <w:b/>
          <w:bCs/>
          <w:color w:val="7F8C8D"/>
          <w:spacing w:val="200"/>
          <w:sz w:val="18"/>
          <w:szCs w:val="18"/>
        </w:rPr>
        <w:t>SOLO STRATEGIST</w:t>
      </w:r>
    </w:p>
    <w:p w14:paraId="79EA96E7" w14:textId="77777777" w:rsidR="00604946" w:rsidRPr="00837968" w:rsidRDefault="00604946" w:rsidP="00604946">
      <w:pPr>
        <w:spacing w:before="100"/>
        <w:rPr>
          <w:color w:val="FFCE00"/>
        </w:rPr>
      </w:pPr>
    </w:p>
    <w:p w14:paraId="37AC275C" w14:textId="46C80070" w:rsidR="00604946" w:rsidRPr="00837968" w:rsidRDefault="00604946" w:rsidP="00604946">
      <w:pPr>
        <w:jc w:val="center"/>
        <w:rPr>
          <w:color w:val="FFDF00"/>
        </w:rPr>
      </w:pPr>
      <w:r w:rsidRPr="00837968">
        <w:rPr>
          <w:color w:val="FFDF00"/>
          <w:sz w:val="60"/>
          <w:szCs w:val="60"/>
        </w:rPr>
        <w:t>Gold</w:t>
      </w:r>
      <w:r w:rsidR="005540EC" w:rsidRPr="00837968">
        <w:rPr>
          <w:color w:val="FFDF00"/>
          <w:sz w:val="60"/>
          <w:szCs w:val="60"/>
        </w:rPr>
        <w:t xml:space="preserve"> </w:t>
      </w:r>
    </w:p>
    <w:p w14:paraId="7B764195" w14:textId="275343A4" w:rsidR="00604946" w:rsidRPr="00837968" w:rsidRDefault="00604946" w:rsidP="00604946">
      <w:pPr>
        <w:spacing w:after="40"/>
        <w:jc w:val="center"/>
        <w:rPr>
          <w:i/>
          <w:iCs/>
          <w:color w:val="665700"/>
          <w:sz w:val="36"/>
          <w:szCs w:val="36"/>
        </w:rPr>
      </w:pPr>
      <w:r w:rsidRPr="00837968">
        <w:rPr>
          <w:i/>
          <w:iCs/>
          <w:color w:val="665700"/>
          <w:sz w:val="36"/>
          <w:szCs w:val="36"/>
        </w:rPr>
        <w:t>The Sovereign Survival Case</w:t>
      </w:r>
    </w:p>
    <w:p w14:paraId="626ECF9C" w14:textId="50AD0FA7" w:rsidR="00604946" w:rsidRPr="00837968" w:rsidRDefault="005540EC" w:rsidP="005540EC">
      <w:pPr>
        <w:spacing w:after="40"/>
        <w:jc w:val="center"/>
        <w:rPr>
          <w:i/>
          <w:iCs/>
          <w:color w:val="665700"/>
          <w:sz w:val="36"/>
          <w:szCs w:val="36"/>
        </w:rPr>
      </w:pPr>
      <w:r w:rsidRPr="00837968">
        <w:rPr>
          <w:i/>
          <w:iCs/>
          <w:color w:val="665700"/>
          <w:sz w:val="36"/>
          <w:szCs w:val="36"/>
        </w:rPr>
        <w:t>$6100/Oz</w:t>
      </w:r>
    </w:p>
    <w:p w14:paraId="501F6FAF" w14:textId="77777777" w:rsidR="00604946" w:rsidRDefault="00604946" w:rsidP="00604946">
      <w:pPr>
        <w:spacing w:before="80" w:after="80"/>
        <w:jc w:val="center"/>
      </w:pPr>
      <w:r>
        <w:rPr>
          <w:rFonts w:ascii="Consolas" w:eastAsia="Consolas" w:hAnsi="Consolas" w:cs="Consolas"/>
          <w:color w:val="BDC3C7"/>
          <w:sz w:val="14"/>
          <w:szCs w:val="14"/>
        </w:rPr>
        <w:t>────────────────────────────────────────</w:t>
      </w:r>
    </w:p>
    <w:p w14:paraId="610C6882" w14:textId="2E35CCAE" w:rsidR="00604946" w:rsidRDefault="00604946" w:rsidP="00604946">
      <w:pPr>
        <w:spacing w:after="60"/>
        <w:jc w:val="center"/>
      </w:pPr>
      <w:r w:rsidRPr="00604946">
        <w:rPr>
          <w:rFonts w:ascii="Calibri" w:eastAsia="Calibri" w:hAnsi="Calibri" w:cs="Calibri"/>
          <w:i/>
          <w:iCs/>
          <w:color w:val="7F8C8D"/>
        </w:rPr>
        <w:t>A Deep-Dive on De-Dollarisation, Peak Supply, and the New Monetary Order</w:t>
      </w:r>
    </w:p>
    <w:p w14:paraId="695A3617" w14:textId="688406BB" w:rsidR="00047E8A" w:rsidRPr="00604946" w:rsidRDefault="00604946" w:rsidP="00604946">
      <w:pPr>
        <w:spacing w:after="200"/>
        <w:jc w:val="center"/>
        <w:rPr>
          <w:rFonts w:ascii="Calibri" w:eastAsia="Calibri" w:hAnsi="Calibri" w:cs="Calibri"/>
          <w:color w:val="BDC3C7"/>
          <w:sz w:val="18"/>
          <w:szCs w:val="18"/>
        </w:rPr>
      </w:pPr>
      <w:r>
        <w:rPr>
          <w:rFonts w:ascii="Calibri" w:eastAsia="Calibri" w:hAnsi="Calibri" w:cs="Calibri"/>
          <w:color w:val="BDC3C7"/>
          <w:sz w:val="18"/>
          <w:szCs w:val="18"/>
        </w:rPr>
        <w:t>February 18</w:t>
      </w:r>
      <w:r w:rsidRPr="001D744A">
        <w:rPr>
          <w:rFonts w:ascii="Calibri" w:eastAsia="Calibri" w:hAnsi="Calibri" w:cs="Calibri"/>
          <w:color w:val="BDC3C7"/>
          <w:sz w:val="18"/>
          <w:szCs w:val="18"/>
          <w:vertAlign w:val="superscript"/>
        </w:rPr>
        <w:t>th</w:t>
      </w:r>
      <w:r>
        <w:rPr>
          <w:rFonts w:ascii="Calibri" w:eastAsia="Calibri" w:hAnsi="Calibri" w:cs="Calibri"/>
          <w:color w:val="BDC3C7"/>
          <w:sz w:val="18"/>
          <w:szCs w:val="18"/>
        </w:rPr>
        <w:t xml:space="preserve">, </w:t>
      </w:r>
      <w:proofErr w:type="gramStart"/>
      <w:r>
        <w:rPr>
          <w:rFonts w:ascii="Calibri" w:eastAsia="Calibri" w:hAnsi="Calibri" w:cs="Calibri"/>
          <w:color w:val="BDC3C7"/>
          <w:sz w:val="18"/>
          <w:szCs w:val="18"/>
        </w:rPr>
        <w:t>2026</w:t>
      </w:r>
      <w:proofErr w:type="gramEnd"/>
      <w:r>
        <w:rPr>
          <w:rFonts w:ascii="Calibri" w:eastAsia="Calibri" w:hAnsi="Calibri" w:cs="Calibri"/>
          <w:color w:val="BDC3C7"/>
          <w:sz w:val="18"/>
          <w:szCs w:val="18"/>
        </w:rPr>
        <w:t xml:space="preserve"> |  XAU/USD</w:t>
      </w:r>
    </w:p>
    <w:p w14:paraId="01F1644C" w14:textId="77777777" w:rsidR="00604946" w:rsidRDefault="00604946" w:rsidP="00604946">
      <w:pPr>
        <w:spacing w:after="200"/>
        <w:jc w:val="center"/>
      </w:pPr>
    </w:p>
    <w:p w14:paraId="5EE0E4D0" w14:textId="77777777" w:rsidR="00604946" w:rsidRDefault="00604946" w:rsidP="00604946">
      <w:pPr>
        <w:spacing w:after="200"/>
        <w:jc w:val="center"/>
      </w:pPr>
    </w:p>
    <w:p w14:paraId="0E6C027F" w14:textId="77777777" w:rsidR="00604946" w:rsidRDefault="00604946" w:rsidP="00604946">
      <w:pPr>
        <w:spacing w:after="200"/>
        <w:jc w:val="center"/>
      </w:pPr>
    </w:p>
    <w:tbl>
      <w:tblPr>
        <w:tblW w:w="9360" w:type="dxa"/>
        <w:tblCellMar>
          <w:left w:w="10" w:type="dxa"/>
          <w:right w:w="10" w:type="dxa"/>
        </w:tblCellMar>
        <w:tblLook w:val="04A0" w:firstRow="1" w:lastRow="0" w:firstColumn="1" w:lastColumn="0" w:noHBand="0" w:noVBand="1"/>
      </w:tblPr>
      <w:tblGrid>
        <w:gridCol w:w="4680"/>
        <w:gridCol w:w="4680"/>
      </w:tblGrid>
      <w:tr w:rsidR="00047E8A" w14:paraId="5097273B" w14:textId="77777777" w:rsidTr="00604946">
        <w:tc>
          <w:tcPr>
            <w:tcW w:w="4680" w:type="dxa"/>
            <w:shd w:val="clear" w:color="auto" w:fill="D4AF37"/>
            <w:tcMar>
              <w:top w:w="80" w:type="dxa"/>
              <w:left w:w="120" w:type="dxa"/>
              <w:bottom w:w="80" w:type="dxa"/>
              <w:right w:w="120" w:type="dxa"/>
            </w:tcMar>
          </w:tcPr>
          <w:p w14:paraId="44D9F309" w14:textId="77777777" w:rsidR="00047E8A" w:rsidRDefault="00000000">
            <w:r>
              <w:rPr>
                <w:b/>
                <w:bCs/>
                <w:color w:val="FFFFFF"/>
                <w:sz w:val="20"/>
                <w:szCs w:val="20"/>
              </w:rPr>
              <w:t>SNAPSHOT</w:t>
            </w:r>
          </w:p>
        </w:tc>
        <w:tc>
          <w:tcPr>
            <w:tcW w:w="4680" w:type="dxa"/>
            <w:shd w:val="clear" w:color="auto" w:fill="D4AF37"/>
            <w:tcMar>
              <w:top w:w="80" w:type="dxa"/>
              <w:left w:w="120" w:type="dxa"/>
              <w:bottom w:w="80" w:type="dxa"/>
              <w:right w:w="120" w:type="dxa"/>
            </w:tcMar>
          </w:tcPr>
          <w:p w14:paraId="784D8293" w14:textId="77777777" w:rsidR="00047E8A" w:rsidRDefault="00047E8A"/>
        </w:tc>
      </w:tr>
      <w:tr w:rsidR="00047E8A" w14:paraId="507BBE25" w14:textId="77777777" w:rsidTr="00604946">
        <w:tc>
          <w:tcPr>
            <w:tcW w:w="4680" w:type="dxa"/>
            <w:shd w:val="clear" w:color="auto" w:fill="FFFFFF"/>
            <w:tcMar>
              <w:top w:w="80" w:type="dxa"/>
              <w:left w:w="120" w:type="dxa"/>
              <w:bottom w:w="80" w:type="dxa"/>
              <w:right w:w="120" w:type="dxa"/>
            </w:tcMar>
          </w:tcPr>
          <w:p w14:paraId="51C8D694" w14:textId="77777777" w:rsidR="00047E8A" w:rsidRDefault="00000000">
            <w:r>
              <w:rPr>
                <w:b/>
                <w:bCs/>
                <w:color w:val="333333"/>
                <w:sz w:val="20"/>
                <w:szCs w:val="20"/>
              </w:rPr>
              <w:t>Spot Price (Feb 18, 2026)</w:t>
            </w:r>
          </w:p>
        </w:tc>
        <w:tc>
          <w:tcPr>
            <w:tcW w:w="4680" w:type="dxa"/>
            <w:shd w:val="clear" w:color="auto" w:fill="FFFFFF"/>
            <w:tcMar>
              <w:top w:w="80" w:type="dxa"/>
              <w:left w:w="120" w:type="dxa"/>
              <w:bottom w:w="80" w:type="dxa"/>
              <w:right w:w="120" w:type="dxa"/>
            </w:tcMar>
          </w:tcPr>
          <w:p w14:paraId="20DCC4EF" w14:textId="77777777" w:rsidR="00047E8A" w:rsidRDefault="00000000">
            <w:r>
              <w:rPr>
                <w:color w:val="333333"/>
                <w:sz w:val="20"/>
                <w:szCs w:val="20"/>
              </w:rPr>
              <w:t>~$4,917 / oz</w:t>
            </w:r>
          </w:p>
        </w:tc>
      </w:tr>
      <w:tr w:rsidR="00047E8A" w14:paraId="154B6CEC" w14:textId="77777777" w:rsidTr="00604946">
        <w:tc>
          <w:tcPr>
            <w:tcW w:w="4680" w:type="dxa"/>
            <w:shd w:val="clear" w:color="auto" w:fill="F7F7F7"/>
            <w:tcMar>
              <w:top w:w="80" w:type="dxa"/>
              <w:left w:w="120" w:type="dxa"/>
              <w:bottom w:w="80" w:type="dxa"/>
              <w:right w:w="120" w:type="dxa"/>
            </w:tcMar>
          </w:tcPr>
          <w:p w14:paraId="363A698F" w14:textId="77777777" w:rsidR="00047E8A" w:rsidRDefault="00000000">
            <w:r>
              <w:rPr>
                <w:b/>
                <w:bCs/>
                <w:color w:val="333333"/>
                <w:sz w:val="20"/>
                <w:szCs w:val="20"/>
              </w:rPr>
              <w:t>All-Time High (Jan 29, 2026)</w:t>
            </w:r>
          </w:p>
        </w:tc>
        <w:tc>
          <w:tcPr>
            <w:tcW w:w="4680" w:type="dxa"/>
            <w:shd w:val="clear" w:color="auto" w:fill="F7F7F7"/>
            <w:tcMar>
              <w:top w:w="80" w:type="dxa"/>
              <w:left w:w="120" w:type="dxa"/>
              <w:bottom w:w="80" w:type="dxa"/>
              <w:right w:w="120" w:type="dxa"/>
            </w:tcMar>
          </w:tcPr>
          <w:p w14:paraId="79F05DCD" w14:textId="77777777" w:rsidR="00047E8A" w:rsidRDefault="00000000">
            <w:r>
              <w:rPr>
                <w:color w:val="333333"/>
                <w:sz w:val="20"/>
                <w:szCs w:val="20"/>
              </w:rPr>
              <w:t>$5,595 / oz</w:t>
            </w:r>
          </w:p>
        </w:tc>
      </w:tr>
      <w:tr w:rsidR="00047E8A" w14:paraId="29FA23D0" w14:textId="77777777" w:rsidTr="00604946">
        <w:tc>
          <w:tcPr>
            <w:tcW w:w="4680" w:type="dxa"/>
            <w:shd w:val="clear" w:color="auto" w:fill="FFFFFF"/>
            <w:tcMar>
              <w:top w:w="80" w:type="dxa"/>
              <w:left w:w="120" w:type="dxa"/>
              <w:bottom w:w="80" w:type="dxa"/>
              <w:right w:w="120" w:type="dxa"/>
            </w:tcMar>
          </w:tcPr>
          <w:p w14:paraId="099E5F59" w14:textId="77777777" w:rsidR="00047E8A" w:rsidRDefault="00000000">
            <w:r>
              <w:rPr>
                <w:b/>
                <w:bCs/>
                <w:color w:val="333333"/>
                <w:sz w:val="20"/>
                <w:szCs w:val="20"/>
              </w:rPr>
              <w:t>52-Week Range</w:t>
            </w:r>
          </w:p>
        </w:tc>
        <w:tc>
          <w:tcPr>
            <w:tcW w:w="4680" w:type="dxa"/>
            <w:shd w:val="clear" w:color="auto" w:fill="FFFFFF"/>
            <w:tcMar>
              <w:top w:w="80" w:type="dxa"/>
              <w:left w:w="120" w:type="dxa"/>
              <w:bottom w:w="80" w:type="dxa"/>
              <w:right w:w="120" w:type="dxa"/>
            </w:tcMar>
          </w:tcPr>
          <w:p w14:paraId="1BBC82FF" w14:textId="77777777" w:rsidR="00047E8A" w:rsidRDefault="00000000">
            <w:r>
              <w:rPr>
                <w:color w:val="333333"/>
                <w:sz w:val="20"/>
                <w:szCs w:val="20"/>
              </w:rPr>
              <w:t>$2,856 – $5,595</w:t>
            </w:r>
          </w:p>
        </w:tc>
      </w:tr>
      <w:tr w:rsidR="00047E8A" w14:paraId="26FC576F" w14:textId="77777777" w:rsidTr="00604946">
        <w:tc>
          <w:tcPr>
            <w:tcW w:w="4680" w:type="dxa"/>
            <w:shd w:val="clear" w:color="auto" w:fill="F7F7F7"/>
            <w:tcMar>
              <w:top w:w="80" w:type="dxa"/>
              <w:left w:w="120" w:type="dxa"/>
              <w:bottom w:w="80" w:type="dxa"/>
              <w:right w:w="120" w:type="dxa"/>
            </w:tcMar>
          </w:tcPr>
          <w:p w14:paraId="7C3CBEB9" w14:textId="77777777" w:rsidR="00047E8A" w:rsidRDefault="00000000">
            <w:r>
              <w:rPr>
                <w:b/>
                <w:bCs/>
                <w:color w:val="333333"/>
                <w:sz w:val="20"/>
                <w:szCs w:val="20"/>
              </w:rPr>
              <w:t>2025 Full-Year Return</w:t>
            </w:r>
          </w:p>
        </w:tc>
        <w:tc>
          <w:tcPr>
            <w:tcW w:w="4680" w:type="dxa"/>
            <w:shd w:val="clear" w:color="auto" w:fill="F7F7F7"/>
            <w:tcMar>
              <w:top w:w="80" w:type="dxa"/>
              <w:left w:w="120" w:type="dxa"/>
              <w:bottom w:w="80" w:type="dxa"/>
              <w:right w:w="120" w:type="dxa"/>
            </w:tcMar>
          </w:tcPr>
          <w:p w14:paraId="416DA915" w14:textId="77777777" w:rsidR="00047E8A" w:rsidRDefault="00000000">
            <w:r>
              <w:rPr>
                <w:color w:val="333333"/>
                <w:sz w:val="20"/>
                <w:szCs w:val="20"/>
              </w:rPr>
              <w:t>+64%</w:t>
            </w:r>
          </w:p>
        </w:tc>
      </w:tr>
      <w:tr w:rsidR="00047E8A" w14:paraId="78A26EA9" w14:textId="77777777" w:rsidTr="00604946">
        <w:tc>
          <w:tcPr>
            <w:tcW w:w="4680" w:type="dxa"/>
            <w:shd w:val="clear" w:color="auto" w:fill="FFFFFF"/>
            <w:tcMar>
              <w:top w:w="80" w:type="dxa"/>
              <w:left w:w="120" w:type="dxa"/>
              <w:bottom w:w="80" w:type="dxa"/>
              <w:right w:w="120" w:type="dxa"/>
            </w:tcMar>
          </w:tcPr>
          <w:p w14:paraId="39B2F7C5" w14:textId="77777777" w:rsidR="00047E8A" w:rsidRDefault="00000000">
            <w:r>
              <w:rPr>
                <w:b/>
                <w:bCs/>
                <w:color w:val="333333"/>
                <w:sz w:val="20"/>
                <w:szCs w:val="20"/>
              </w:rPr>
              <w:t>YTD 2026 Return</w:t>
            </w:r>
          </w:p>
        </w:tc>
        <w:tc>
          <w:tcPr>
            <w:tcW w:w="4680" w:type="dxa"/>
            <w:shd w:val="clear" w:color="auto" w:fill="FFFFFF"/>
            <w:tcMar>
              <w:top w:w="80" w:type="dxa"/>
              <w:left w:w="120" w:type="dxa"/>
              <w:bottom w:w="80" w:type="dxa"/>
              <w:right w:w="120" w:type="dxa"/>
            </w:tcMar>
          </w:tcPr>
          <w:p w14:paraId="21D80E1F" w14:textId="77777777" w:rsidR="00047E8A" w:rsidRDefault="00000000">
            <w:r>
              <w:rPr>
                <w:color w:val="333333"/>
                <w:sz w:val="20"/>
                <w:szCs w:val="20"/>
              </w:rPr>
              <w:t>+14%</w:t>
            </w:r>
          </w:p>
        </w:tc>
      </w:tr>
      <w:tr w:rsidR="00047E8A" w14:paraId="365A9CF6" w14:textId="77777777" w:rsidTr="00604946">
        <w:tc>
          <w:tcPr>
            <w:tcW w:w="4680" w:type="dxa"/>
            <w:shd w:val="clear" w:color="auto" w:fill="F7F7F7"/>
            <w:tcMar>
              <w:top w:w="80" w:type="dxa"/>
              <w:left w:w="120" w:type="dxa"/>
              <w:bottom w:w="80" w:type="dxa"/>
              <w:right w:w="120" w:type="dxa"/>
            </w:tcMar>
          </w:tcPr>
          <w:p w14:paraId="0A7C3A77" w14:textId="77777777" w:rsidR="00047E8A" w:rsidRDefault="00000000">
            <w:r>
              <w:rPr>
                <w:b/>
                <w:bCs/>
                <w:color w:val="333333"/>
                <w:sz w:val="20"/>
                <w:szCs w:val="20"/>
              </w:rPr>
              <w:t>2025 Total Demand</w:t>
            </w:r>
          </w:p>
        </w:tc>
        <w:tc>
          <w:tcPr>
            <w:tcW w:w="4680" w:type="dxa"/>
            <w:shd w:val="clear" w:color="auto" w:fill="F7F7F7"/>
            <w:tcMar>
              <w:top w:w="80" w:type="dxa"/>
              <w:left w:w="120" w:type="dxa"/>
              <w:bottom w:w="80" w:type="dxa"/>
              <w:right w:w="120" w:type="dxa"/>
            </w:tcMar>
          </w:tcPr>
          <w:p w14:paraId="5ADB9E74" w14:textId="77777777" w:rsidR="00047E8A" w:rsidRDefault="00000000">
            <w:r>
              <w:rPr>
                <w:color w:val="333333"/>
                <w:sz w:val="20"/>
                <w:szCs w:val="20"/>
              </w:rPr>
              <w:t>5,002 tonnes (record)</w:t>
            </w:r>
          </w:p>
        </w:tc>
      </w:tr>
      <w:tr w:rsidR="00047E8A" w14:paraId="1D667FEB" w14:textId="77777777" w:rsidTr="00604946">
        <w:tc>
          <w:tcPr>
            <w:tcW w:w="4680" w:type="dxa"/>
            <w:shd w:val="clear" w:color="auto" w:fill="FFFFFF"/>
            <w:tcMar>
              <w:top w:w="80" w:type="dxa"/>
              <w:left w:w="120" w:type="dxa"/>
              <w:bottom w:w="80" w:type="dxa"/>
              <w:right w:w="120" w:type="dxa"/>
            </w:tcMar>
          </w:tcPr>
          <w:p w14:paraId="4D445485" w14:textId="77777777" w:rsidR="00047E8A" w:rsidRDefault="00000000">
            <w:r>
              <w:rPr>
                <w:b/>
                <w:bCs/>
                <w:color w:val="333333"/>
                <w:sz w:val="20"/>
                <w:szCs w:val="20"/>
              </w:rPr>
              <w:t>Central Bank Purchases (2025)</w:t>
            </w:r>
          </w:p>
        </w:tc>
        <w:tc>
          <w:tcPr>
            <w:tcW w:w="4680" w:type="dxa"/>
            <w:shd w:val="clear" w:color="auto" w:fill="FFFFFF"/>
            <w:tcMar>
              <w:top w:w="80" w:type="dxa"/>
              <w:left w:w="120" w:type="dxa"/>
              <w:bottom w:w="80" w:type="dxa"/>
              <w:right w:w="120" w:type="dxa"/>
            </w:tcMar>
          </w:tcPr>
          <w:p w14:paraId="516B5346" w14:textId="0A6E6567" w:rsidR="00047E8A" w:rsidRDefault="00000000">
            <w:r>
              <w:rPr>
                <w:color w:val="333333"/>
                <w:sz w:val="20"/>
                <w:szCs w:val="20"/>
              </w:rPr>
              <w:t>863 tonnes</w:t>
            </w:r>
            <w:r w:rsidR="00604946">
              <w:rPr>
                <w:color w:val="333333"/>
                <w:sz w:val="20"/>
                <w:szCs w:val="20"/>
              </w:rPr>
              <w:t xml:space="preserve"> (2.5x of total British Reserves)</w:t>
            </w:r>
          </w:p>
        </w:tc>
      </w:tr>
      <w:tr w:rsidR="00047E8A" w14:paraId="13417F6A" w14:textId="77777777" w:rsidTr="00604946">
        <w:tc>
          <w:tcPr>
            <w:tcW w:w="4680" w:type="dxa"/>
            <w:shd w:val="clear" w:color="auto" w:fill="F7F7F7"/>
            <w:tcMar>
              <w:top w:w="80" w:type="dxa"/>
              <w:left w:w="120" w:type="dxa"/>
              <w:bottom w:w="80" w:type="dxa"/>
              <w:right w:w="120" w:type="dxa"/>
            </w:tcMar>
          </w:tcPr>
          <w:p w14:paraId="00462BE6" w14:textId="77777777" w:rsidR="00047E8A" w:rsidRDefault="00000000">
            <w:r>
              <w:rPr>
                <w:b/>
                <w:bCs/>
                <w:color w:val="333333"/>
                <w:sz w:val="20"/>
                <w:szCs w:val="20"/>
              </w:rPr>
              <w:t>US M2 Money Supply</w:t>
            </w:r>
          </w:p>
        </w:tc>
        <w:tc>
          <w:tcPr>
            <w:tcW w:w="4680" w:type="dxa"/>
            <w:shd w:val="clear" w:color="auto" w:fill="F7F7F7"/>
            <w:tcMar>
              <w:top w:w="80" w:type="dxa"/>
              <w:left w:w="120" w:type="dxa"/>
              <w:bottom w:w="80" w:type="dxa"/>
              <w:right w:w="120" w:type="dxa"/>
            </w:tcMar>
          </w:tcPr>
          <w:p w14:paraId="1F0EBBA6" w14:textId="77777777" w:rsidR="00047E8A" w:rsidRDefault="00000000">
            <w:r>
              <w:rPr>
                <w:color w:val="333333"/>
                <w:sz w:val="20"/>
                <w:szCs w:val="20"/>
              </w:rPr>
              <w:t>$22.4 Trillion</w:t>
            </w:r>
          </w:p>
        </w:tc>
      </w:tr>
      <w:tr w:rsidR="00047E8A" w14:paraId="2FDE5B64" w14:textId="77777777" w:rsidTr="00604946">
        <w:tc>
          <w:tcPr>
            <w:tcW w:w="4680" w:type="dxa"/>
            <w:shd w:val="clear" w:color="auto" w:fill="FFFFFF"/>
            <w:tcMar>
              <w:top w:w="80" w:type="dxa"/>
              <w:left w:w="120" w:type="dxa"/>
              <w:bottom w:w="80" w:type="dxa"/>
              <w:right w:w="120" w:type="dxa"/>
            </w:tcMar>
          </w:tcPr>
          <w:p w14:paraId="52C1B888" w14:textId="77777777" w:rsidR="00047E8A" w:rsidRDefault="00000000">
            <w:r>
              <w:rPr>
                <w:b/>
                <w:bCs/>
                <w:color w:val="333333"/>
                <w:sz w:val="20"/>
                <w:szCs w:val="20"/>
              </w:rPr>
              <w:t>Solo Strategist Price Target</w:t>
            </w:r>
          </w:p>
        </w:tc>
        <w:tc>
          <w:tcPr>
            <w:tcW w:w="4680" w:type="dxa"/>
            <w:shd w:val="clear" w:color="auto" w:fill="FFFFFF"/>
            <w:tcMar>
              <w:top w:w="80" w:type="dxa"/>
              <w:left w:w="120" w:type="dxa"/>
              <w:bottom w:w="80" w:type="dxa"/>
              <w:right w:w="120" w:type="dxa"/>
            </w:tcMar>
          </w:tcPr>
          <w:p w14:paraId="6CD12DFE" w14:textId="77777777" w:rsidR="00047E8A" w:rsidRDefault="00000000">
            <w:r>
              <w:rPr>
                <w:color w:val="333333"/>
                <w:sz w:val="20"/>
                <w:szCs w:val="20"/>
              </w:rPr>
              <w:t>$6,100 / oz (year-end 2026)</w:t>
            </w:r>
          </w:p>
        </w:tc>
      </w:tr>
      <w:tr w:rsidR="00047E8A" w14:paraId="31B61EC2" w14:textId="77777777" w:rsidTr="00604946">
        <w:tc>
          <w:tcPr>
            <w:tcW w:w="4680" w:type="dxa"/>
            <w:shd w:val="clear" w:color="auto" w:fill="F7F7F7"/>
            <w:tcMar>
              <w:top w:w="80" w:type="dxa"/>
              <w:left w:w="120" w:type="dxa"/>
              <w:bottom w:w="80" w:type="dxa"/>
              <w:right w:w="120" w:type="dxa"/>
            </w:tcMar>
          </w:tcPr>
          <w:p w14:paraId="0064D762" w14:textId="77777777" w:rsidR="00047E8A" w:rsidRDefault="00000000">
            <w:r>
              <w:rPr>
                <w:b/>
                <w:bCs/>
                <w:color w:val="333333"/>
                <w:sz w:val="20"/>
                <w:szCs w:val="20"/>
              </w:rPr>
              <w:t>Institutional Consensus Range</w:t>
            </w:r>
          </w:p>
        </w:tc>
        <w:tc>
          <w:tcPr>
            <w:tcW w:w="4680" w:type="dxa"/>
            <w:shd w:val="clear" w:color="auto" w:fill="F7F7F7"/>
            <w:tcMar>
              <w:top w:w="80" w:type="dxa"/>
              <w:left w:w="120" w:type="dxa"/>
              <w:bottom w:w="80" w:type="dxa"/>
              <w:right w:w="120" w:type="dxa"/>
            </w:tcMar>
          </w:tcPr>
          <w:p w14:paraId="37A78C17" w14:textId="77777777" w:rsidR="00047E8A" w:rsidRDefault="00000000">
            <w:r>
              <w:rPr>
                <w:color w:val="333333"/>
                <w:sz w:val="20"/>
                <w:szCs w:val="20"/>
              </w:rPr>
              <w:t>$5,400 – $6,300</w:t>
            </w:r>
          </w:p>
        </w:tc>
      </w:tr>
    </w:tbl>
    <w:p w14:paraId="32C6B685" w14:textId="77777777" w:rsidR="00047E8A" w:rsidRDefault="00000000">
      <w:r>
        <w:br w:type="page"/>
      </w:r>
    </w:p>
    <w:p w14:paraId="0C54CF15" w14:textId="5FE9F0B2" w:rsidR="00047E8A" w:rsidRDefault="00000000">
      <w:pPr>
        <w:pStyle w:val="Heading1"/>
        <w:spacing w:after="120"/>
      </w:pPr>
      <w:r>
        <w:lastRenderedPageBreak/>
        <w:t>I. THE INVESTMENT THESIS: $6,100</w:t>
      </w:r>
      <w:r w:rsidR="00604946">
        <w:t>,</w:t>
      </w:r>
      <w:r>
        <w:t xml:space="preserve"> THE SOVEREIGN SURVIVAL CASE</w:t>
      </w:r>
    </w:p>
    <w:p w14:paraId="2C990609" w14:textId="77777777" w:rsidR="00047E8A" w:rsidRDefault="00000000">
      <w:pPr>
        <w:spacing w:after="160"/>
      </w:pPr>
      <w:r>
        <w:rPr>
          <w:color w:val="333333"/>
        </w:rPr>
        <w:t xml:space="preserve">Gold is no longer behaving like a commodity. It is behaving like </w:t>
      </w:r>
      <w:r>
        <w:rPr>
          <w:b/>
          <w:bCs/>
          <w:color w:val="D4AF37"/>
        </w:rPr>
        <w:t>Alternative Fiat</w:t>
      </w:r>
      <w:r>
        <w:rPr>
          <w:color w:val="333333"/>
        </w:rPr>
        <w:t>. The historical inverse correlation between gold and real interest rates broke decisively in 2025: gold surged 64% despite elevated rates because central banks were buying for sovereign survival rather than portfolio profit. This is not a speculative thesis. It is a structural reordering of the global monetary system, and the $6,100 price target represents mean-reversion to monetary debasement, not a spike.</w:t>
      </w:r>
    </w:p>
    <w:p w14:paraId="058963F6" w14:textId="77777777" w:rsidR="00047E8A" w:rsidRDefault="00000000">
      <w:pPr>
        <w:spacing w:after="160"/>
      </w:pPr>
      <w:r>
        <w:rPr>
          <w:color w:val="333333"/>
        </w:rPr>
        <w:t>Our bullish case rests on four reinforcing structural pillars, each independently sufficient to support higher gold prices, and collectively pointing to $6,100 as a conservative year-end 2026 target:</w:t>
      </w:r>
    </w:p>
    <w:p w14:paraId="02CC7BEF" w14:textId="77777777" w:rsidR="00047E8A" w:rsidRDefault="00000000">
      <w:pPr>
        <w:spacing w:after="160"/>
      </w:pPr>
      <w:r>
        <w:rPr>
          <w:b/>
          <w:bCs/>
          <w:color w:val="333333"/>
        </w:rPr>
        <w:t xml:space="preserve">1. The BRICS Gold-Backed Pivot: </w:t>
      </w:r>
      <w:r>
        <w:rPr>
          <w:color w:val="333333"/>
        </w:rPr>
        <w:t>The launch of the BRICS ‘Unit’ creates a permanent demand floor for physical gold independent of Western retail sentiment.</w:t>
      </w:r>
    </w:p>
    <w:p w14:paraId="79BB2FB3" w14:textId="77777777" w:rsidR="00047E8A" w:rsidRDefault="00000000">
      <w:pPr>
        <w:spacing w:after="160"/>
      </w:pPr>
      <w:r>
        <w:rPr>
          <w:b/>
          <w:bCs/>
          <w:color w:val="333333"/>
        </w:rPr>
        <w:t xml:space="preserve">2. Peak Gold Supply: </w:t>
      </w:r>
      <w:r>
        <w:rPr>
          <w:color w:val="333333"/>
        </w:rPr>
        <w:t>Total demand exceeded 5,000 tonnes for the first time in 2025 while mine production plateaus. We are in a structural supply-demand squeeze.</w:t>
      </w:r>
    </w:p>
    <w:p w14:paraId="1D21E8DB" w14:textId="77777777" w:rsidR="00047E8A" w:rsidRDefault="00000000">
      <w:pPr>
        <w:spacing w:after="160"/>
      </w:pPr>
      <w:r>
        <w:rPr>
          <w:b/>
          <w:bCs/>
          <w:color w:val="333333"/>
        </w:rPr>
        <w:t xml:space="preserve">3. The Debasement Catch-Up: </w:t>
      </w:r>
      <w:r>
        <w:rPr>
          <w:color w:val="333333"/>
        </w:rPr>
        <w:t>US M2 money supply has expanded 45% since January 2020. Gold has not yet fully priced this debasement. $6,100 represents monetary fair value, not a speculative premium.</w:t>
      </w:r>
    </w:p>
    <w:p w14:paraId="38EEE982" w14:textId="77777777" w:rsidR="00047E8A" w:rsidRDefault="00000000">
      <w:pPr>
        <w:spacing w:after="160"/>
      </w:pPr>
      <w:r>
        <w:rPr>
          <w:b/>
          <w:bCs/>
          <w:color w:val="333333"/>
        </w:rPr>
        <w:t xml:space="preserve">4. The AI Conductivity Moat: </w:t>
      </w:r>
      <w:r>
        <w:rPr>
          <w:color w:val="333333"/>
        </w:rPr>
        <w:t xml:space="preserve">With $600 billion in projected AI </w:t>
      </w:r>
      <w:proofErr w:type="spellStart"/>
      <w:r>
        <w:rPr>
          <w:color w:val="333333"/>
        </w:rPr>
        <w:t>CapEx</w:t>
      </w:r>
      <w:proofErr w:type="spellEnd"/>
      <w:r>
        <w:rPr>
          <w:color w:val="333333"/>
        </w:rPr>
        <w:t xml:space="preserve"> from </w:t>
      </w:r>
      <w:proofErr w:type="spellStart"/>
      <w:r>
        <w:rPr>
          <w:color w:val="333333"/>
        </w:rPr>
        <w:t>hyperscalers</w:t>
      </w:r>
      <w:proofErr w:type="spellEnd"/>
      <w:r>
        <w:rPr>
          <w:color w:val="333333"/>
        </w:rPr>
        <w:t xml:space="preserve"> in 2026, gold’s industrial role in high-density computing infrastructure creates price-inelastic demand that most analysts overlook.</w:t>
      </w:r>
    </w:p>
    <w:p w14:paraId="4080F2CC" w14:textId="77777777" w:rsidR="00047E8A" w:rsidRDefault="00000000">
      <w:pPr>
        <w:spacing w:after="80"/>
      </w:pPr>
      <w:r>
        <w:rPr>
          <w:i/>
          <w:iCs/>
          <w:color w:val="333333"/>
        </w:rPr>
        <w:t>This $6,100 target aligns with Wells Fargo’s revised year-end forecast ($6,100–$6,300), J.P. Morgan ($6,300), UBS ($6,200), and Deutsche Bank ($6,000). We are not outliers. We are aligned with institutional consensus, supported by independent technical and fundamental analysis.</w:t>
      </w:r>
    </w:p>
    <w:p w14:paraId="2DEF5C65" w14:textId="77777777" w:rsidR="00047E8A" w:rsidRDefault="00000000">
      <w:pPr>
        <w:spacing w:after="200"/>
      </w:pPr>
      <w:r>
        <w:rPr>
          <w:rStyle w:val="FootnoteReference"/>
        </w:rPr>
        <w:footnoteReference w:id="1"/>
      </w:r>
    </w:p>
    <w:p w14:paraId="52B851D4" w14:textId="77777777" w:rsidR="00047E8A" w:rsidRDefault="00000000">
      <w:r>
        <w:br w:type="page"/>
      </w:r>
    </w:p>
    <w:p w14:paraId="04280245" w14:textId="77777777" w:rsidR="00047E8A" w:rsidRDefault="00000000">
      <w:pPr>
        <w:pStyle w:val="Heading1"/>
        <w:spacing w:after="120"/>
      </w:pPr>
      <w:r>
        <w:lastRenderedPageBreak/>
        <w:t>II. PILLAR 1: THE BRICS ‘UNIT’ AND THE GOLD-BACKED PIVOT</w:t>
      </w:r>
    </w:p>
    <w:p w14:paraId="0DEBB2CA" w14:textId="77777777" w:rsidR="00047E8A" w:rsidRDefault="00000000">
      <w:pPr>
        <w:jc w:val="center"/>
      </w:pPr>
      <w:r>
        <w:rPr>
          <w:noProof/>
        </w:rPr>
        <w:drawing>
          <wp:inline distT="0" distB="0" distL="0" distR="0" wp14:anchorId="43EAF167" wp14:editId="273BD18A">
            <wp:extent cx="5334000" cy="2800350"/>
            <wp:effectExtent l="0" t="0" r="0" b="0"/>
            <wp:docPr id="1798777198" name="/home/claude/charts/02_brics_unit.png" descr="/home/claude/charts/02_brics_unit.png" title="/home/claude/charts/02_brics_un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0350"/>
                    </a:xfrm>
                    <a:prstGeom prst="rect">
                      <a:avLst/>
                    </a:prstGeom>
                  </pic:spPr>
                </pic:pic>
              </a:graphicData>
            </a:graphic>
          </wp:inline>
        </w:drawing>
      </w:r>
    </w:p>
    <w:p w14:paraId="263698D2" w14:textId="77777777" w:rsidR="00047E8A" w:rsidRDefault="00000000">
      <w:pPr>
        <w:spacing w:after="200"/>
        <w:jc w:val="center"/>
      </w:pPr>
      <w:r>
        <w:rPr>
          <w:i/>
          <w:iCs/>
          <w:color w:val="666666"/>
          <w:sz w:val="18"/>
          <w:szCs w:val="18"/>
        </w:rPr>
        <w:t>Figure 1: The BRICS ‘Unit’ — Gold-Backed Settlement Currency Architecture</w:t>
      </w:r>
    </w:p>
    <w:p w14:paraId="179174ED" w14:textId="77777777" w:rsidR="00047E8A" w:rsidRDefault="00000000">
      <w:pPr>
        <w:spacing w:after="160"/>
      </w:pPr>
      <w:r>
        <w:rPr>
          <w:color w:val="333333"/>
        </w:rPr>
        <w:t xml:space="preserve">While most market commentary treats ‘de-dollarisation’ as a vague geopolitical trend, 2026 has seen the emergence of a tangible competitor to dollar-denominated trade settlement. The BRICS ‘Unit’, piloted in October 2025 and formally expanded in January 2026, is a digital trade settlement instrument reportedly anchored 40% by physical gold and 60% by a basket of member currencies (yuan, rupee, </w:t>
      </w:r>
      <w:proofErr w:type="spellStart"/>
      <w:r>
        <w:rPr>
          <w:color w:val="333333"/>
        </w:rPr>
        <w:t>ruble</w:t>
      </w:r>
      <w:proofErr w:type="spellEnd"/>
      <w:r>
        <w:rPr>
          <w:color w:val="333333"/>
        </w:rPr>
        <w:t>, real, rand, and dirham).</w:t>
      </w:r>
    </w:p>
    <w:p w14:paraId="423F6A42" w14:textId="77777777" w:rsidR="00047E8A" w:rsidRDefault="00000000">
      <w:pPr>
        <w:pStyle w:val="Heading2"/>
        <w:spacing w:after="120"/>
      </w:pPr>
      <w:r>
        <w:rPr>
          <w:color w:val="333333"/>
        </w:rPr>
        <w:t>The Structural Demand Floor</w:t>
      </w:r>
    </w:p>
    <w:p w14:paraId="15DC4EBB" w14:textId="77777777" w:rsidR="00047E8A" w:rsidRDefault="00000000">
      <w:pPr>
        <w:spacing w:after="160"/>
      </w:pPr>
      <w:r>
        <w:rPr>
          <w:color w:val="333333"/>
        </w:rPr>
        <w:t>This mechanism creates a permanent demand floor for physical gold that operates independently of Western investment sentiment or ETF flows. Unlike gold ETFs, which can see rapid outflows during risk-on rotations, sovereign settlement demand is anchored by treaty obligations and trade infrastructure. BRICS+ nations, which now include Saudi Arabia and the UAE, collectively hold over 6,000 tonnes of gold reserves and are actively adding.</w:t>
      </w:r>
    </w:p>
    <w:p w14:paraId="3FC50CDD" w14:textId="77777777" w:rsidR="00047E8A" w:rsidRDefault="00000000">
      <w:pPr>
        <w:spacing w:after="160"/>
      </w:pPr>
      <w:r>
        <w:rPr>
          <w:color w:val="333333"/>
        </w:rPr>
        <w:t>China’s central bank extended its gold purchasing streak to 15 consecutive months by January 2026, with holdings reaching 74.19 million fine troy ounces valued at approximately $370 billion. Poland, the largest buyer in 2025 with 102 tonnes added, has increased its target allocation from 20% to 30% of total reserves and signalled intentions to reach 700 tonnes for ‘national security reasons.’</w:t>
      </w:r>
    </w:p>
    <w:p w14:paraId="058B4538" w14:textId="77777777" w:rsidR="00047E8A" w:rsidRDefault="00000000">
      <w:pPr>
        <w:spacing w:after="100"/>
      </w:pPr>
      <w:r>
        <w:rPr>
          <w:rStyle w:val="FootnoteReference"/>
        </w:rPr>
        <w:footnoteReference w:id="2"/>
      </w:r>
    </w:p>
    <w:p w14:paraId="4AEB1B08" w14:textId="77777777" w:rsidR="00047E8A" w:rsidRDefault="00000000">
      <w:pPr>
        <w:pStyle w:val="Heading2"/>
        <w:spacing w:after="120"/>
      </w:pPr>
      <w:r>
        <w:rPr>
          <w:color w:val="333333"/>
        </w:rPr>
        <w:t>The Reserve Displacement Effect</w:t>
      </w:r>
    </w:p>
    <w:p w14:paraId="3878E9C2" w14:textId="77777777" w:rsidR="00047E8A" w:rsidRDefault="00000000">
      <w:pPr>
        <w:jc w:val="center"/>
      </w:pPr>
      <w:r>
        <w:rPr>
          <w:noProof/>
        </w:rPr>
        <w:lastRenderedPageBreak/>
        <w:drawing>
          <wp:inline distT="0" distB="0" distL="0" distR="0" wp14:anchorId="3CE25BCC" wp14:editId="52E87195">
            <wp:extent cx="5334000" cy="2800350"/>
            <wp:effectExtent l="0" t="0" r="0" b="0"/>
            <wp:docPr id="669784307" name="/home/claude/charts/01_reserve_assets.png" descr="/home/claude/charts/01_reserve_assets.png" title="/home/claude/charts/01_reserve_as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00350"/>
                    </a:xfrm>
                    <a:prstGeom prst="rect">
                      <a:avLst/>
                    </a:prstGeom>
                  </pic:spPr>
                </pic:pic>
              </a:graphicData>
            </a:graphic>
          </wp:inline>
        </w:drawing>
      </w:r>
    </w:p>
    <w:p w14:paraId="11AC87E1" w14:textId="77777777" w:rsidR="00047E8A" w:rsidRDefault="00000000">
      <w:pPr>
        <w:spacing w:after="200"/>
        <w:jc w:val="center"/>
      </w:pPr>
      <w:r>
        <w:rPr>
          <w:i/>
          <w:iCs/>
          <w:color w:val="666666"/>
          <w:sz w:val="18"/>
          <w:szCs w:val="18"/>
        </w:rPr>
        <w:t>Figure 2: Global Reserve Asset Composition — Gold rising as US Treasuries decline</w:t>
      </w:r>
    </w:p>
    <w:p w14:paraId="22E57265" w14:textId="17C3D839" w:rsidR="00047E8A" w:rsidRDefault="00000000">
      <w:pPr>
        <w:spacing w:after="160"/>
      </w:pPr>
      <w:r>
        <w:rPr>
          <w:color w:val="333333"/>
        </w:rPr>
        <w:t>The dollar’s share of global foreign exchange reserves fell to 56.3% by mid-2025, a 30-year low, according to IMF COFER data. Gold’s share of total global reserves has risen from approximately 10% in 2014 to an estimated 25% by early 2026. This is not cyclical repositioning; it is structural displacement. Central bank gold purchases topped 1,000 tonnes annually in 2022, 2023, and 2024 before moderating to 863 tonnes in 2025</w:t>
      </w:r>
      <w:r w:rsidR="00604946">
        <w:rPr>
          <w:color w:val="333333"/>
        </w:rPr>
        <w:t xml:space="preserve">. This is </w:t>
      </w:r>
      <w:r>
        <w:rPr>
          <w:color w:val="333333"/>
        </w:rPr>
        <w:t>still nearly double the 400–500 tonne pre-2022 average.</w:t>
      </w:r>
    </w:p>
    <w:p w14:paraId="5762543F" w14:textId="77777777" w:rsidR="00047E8A" w:rsidRDefault="00000000">
      <w:pPr>
        <w:spacing w:after="100"/>
      </w:pPr>
      <w:r>
        <w:rPr>
          <w:rStyle w:val="FootnoteReference"/>
        </w:rPr>
        <w:footnoteReference w:id="3"/>
      </w:r>
    </w:p>
    <w:p w14:paraId="7246E0A1" w14:textId="77777777" w:rsidR="00047E8A" w:rsidRDefault="00000000">
      <w:pPr>
        <w:spacing w:after="160"/>
      </w:pPr>
      <w:r>
        <w:rPr>
          <w:color w:val="333333"/>
        </w:rPr>
        <w:t xml:space="preserve">The velocity of this shift is accelerating. Geopolitical friction between the US and NATO allies over Greenland has led to unexpected </w:t>
      </w:r>
      <w:proofErr w:type="gramStart"/>
      <w:r>
        <w:rPr>
          <w:color w:val="333333"/>
        </w:rPr>
        <w:t>sell-offs</w:t>
      </w:r>
      <w:proofErr w:type="gramEnd"/>
      <w:r>
        <w:rPr>
          <w:color w:val="333333"/>
        </w:rPr>
        <w:t xml:space="preserve"> of US Treasuries by European pension funds. When allies reduce their holdings of US debt, they do not rotate into Bitcoin — they rotate into gold. If even 0.5% of foreign-held US assets were redirected into gold, demand would spike sufficiently to support prices above $6,000.</w:t>
      </w:r>
    </w:p>
    <w:p w14:paraId="24248856" w14:textId="77777777" w:rsidR="00047E8A" w:rsidRDefault="00000000">
      <w:r>
        <w:br w:type="page"/>
      </w:r>
    </w:p>
    <w:p w14:paraId="288F0ADC" w14:textId="77777777" w:rsidR="00047E8A" w:rsidRDefault="00000000">
      <w:pPr>
        <w:pStyle w:val="Heading1"/>
        <w:spacing w:after="120"/>
      </w:pPr>
      <w:r>
        <w:lastRenderedPageBreak/>
        <w:t>III. PILLAR 2: THE SUPPLY-SIDE WALL — PEAK GOLD</w:t>
      </w:r>
    </w:p>
    <w:p w14:paraId="12A05591" w14:textId="77777777" w:rsidR="00047E8A" w:rsidRDefault="00000000">
      <w:pPr>
        <w:jc w:val="center"/>
      </w:pPr>
      <w:r>
        <w:rPr>
          <w:noProof/>
        </w:rPr>
        <w:drawing>
          <wp:inline distT="0" distB="0" distL="0" distR="0" wp14:anchorId="3A5A3E1E" wp14:editId="330DC856">
            <wp:extent cx="5334000" cy="2800350"/>
            <wp:effectExtent l="0" t="0" r="0" b="0"/>
            <wp:docPr id="1046668830" name="/home/claude/charts/04_peak_gold.png" descr="/home/claude/charts/04_peak_gold.png" title="/home/claude/charts/04_peak_g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00350"/>
                    </a:xfrm>
                    <a:prstGeom prst="rect">
                      <a:avLst/>
                    </a:prstGeom>
                  </pic:spPr>
                </pic:pic>
              </a:graphicData>
            </a:graphic>
          </wp:inline>
        </w:drawing>
      </w:r>
    </w:p>
    <w:p w14:paraId="2BFF65A2" w14:textId="77777777" w:rsidR="00047E8A" w:rsidRDefault="00000000">
      <w:pPr>
        <w:spacing w:after="200"/>
        <w:jc w:val="center"/>
      </w:pPr>
      <w:r>
        <w:rPr>
          <w:i/>
          <w:iCs/>
          <w:color w:val="666666"/>
          <w:sz w:val="18"/>
          <w:szCs w:val="18"/>
        </w:rPr>
        <w:t>Figure 3: Peak Gold — Mine production plateauing while demand surges</w:t>
      </w:r>
    </w:p>
    <w:p w14:paraId="7FEAB60A" w14:textId="77777777" w:rsidR="00047E8A" w:rsidRDefault="00000000">
      <w:pPr>
        <w:spacing w:after="160"/>
      </w:pPr>
      <w:r>
        <w:rPr>
          <w:color w:val="333333"/>
        </w:rPr>
        <w:t>The supply-demand dynamics of gold have reached a structural inflection point that most equity-focused analysts underappreciate. Total gold demand exceeded 5,000 tonnes for the first time in 2025, according to the World Gold Council, while total supply (mine production plus recycling) was essentially flat at 5,002 tonnes — a razor-thin balance that leaves no margin for demand acceleration.</w:t>
      </w:r>
    </w:p>
    <w:p w14:paraId="6A5694B1" w14:textId="77777777" w:rsidR="00047E8A" w:rsidRDefault="00000000">
      <w:pPr>
        <w:spacing w:after="100"/>
      </w:pPr>
      <w:r>
        <w:rPr>
          <w:rStyle w:val="FootnoteReference"/>
        </w:rPr>
        <w:footnoteReference w:id="4"/>
      </w:r>
    </w:p>
    <w:p w14:paraId="16933C45" w14:textId="77777777" w:rsidR="00047E8A" w:rsidRDefault="00000000">
      <w:pPr>
        <w:pStyle w:val="Heading2"/>
        <w:spacing w:after="120"/>
      </w:pPr>
      <w:r>
        <w:rPr>
          <w:color w:val="333333"/>
        </w:rPr>
        <w:t>Mine Production: The Plateau</w:t>
      </w:r>
    </w:p>
    <w:p w14:paraId="297BE11C" w14:textId="77777777" w:rsidR="00047E8A" w:rsidRDefault="00000000">
      <w:pPr>
        <w:spacing w:after="160"/>
      </w:pPr>
      <w:r>
        <w:rPr>
          <w:color w:val="333333"/>
        </w:rPr>
        <w:t>Global mine production reached an estimated 3,672 tonnes in 2025 — barely surpassing the 2018 record of 3,663 tonnes after seven years of stagnation. Average annual mine production growth over the past decade has been less than 1%. The discovery of Tier-1 deposits has crashed to near-zero levels, average ore grades continue to decline, and all-in sustaining costs (AISC) rose 9% year-on-year to approximately $1,605 per ounce. The industry cannot simply ‘mine more’ to suppress prices.</w:t>
      </w:r>
    </w:p>
    <w:p w14:paraId="1077B1F0" w14:textId="77777777" w:rsidR="00047E8A" w:rsidRDefault="00000000">
      <w:pPr>
        <w:pStyle w:val="Heading2"/>
        <w:spacing w:after="120"/>
      </w:pPr>
      <w:r>
        <w:rPr>
          <w:color w:val="333333"/>
        </w:rPr>
        <w:t>Demand: The Structural Surge</w:t>
      </w:r>
    </w:p>
    <w:p w14:paraId="5AF1F198" w14:textId="77777777" w:rsidR="00047E8A" w:rsidRDefault="00000000">
      <w:pPr>
        <w:spacing w:after="160"/>
      </w:pPr>
      <w:r>
        <w:rPr>
          <w:color w:val="333333"/>
        </w:rPr>
        <w:t>Investment demand surged 84% to 2,175 tonnes in 2025, driven by global gold ETF inflows of 801 tonnes (the second-strongest year on record) and bar-and-coin demand at a 12-year high of 1,374 tonnes. Central banks added another 863 tonnes. With demand projected to approach 5,500 tonnes in 2026 and mine production unable to grow meaningfully, the physical market faces its tightest conditions in modern history.</w:t>
      </w:r>
    </w:p>
    <w:p w14:paraId="0ECE30E9" w14:textId="77777777" w:rsidR="00047E8A" w:rsidRDefault="00000000">
      <w:pPr>
        <w:spacing w:after="160"/>
      </w:pPr>
      <w:r>
        <w:rPr>
          <w:color w:val="333333"/>
        </w:rPr>
        <w:t xml:space="preserve">The recycling response to the 67% price surge in 2025 was strikingly subdued — up only 3% to 1,404 tonnes. In emerging markets such as India, the Middle East, and Southeast Asia, </w:t>
      </w:r>
      <w:r>
        <w:rPr>
          <w:color w:val="333333"/>
        </w:rPr>
        <w:lastRenderedPageBreak/>
        <w:t>recycling actually declined, suggesting holders expect further appreciation rather than cashing out. This behaviour reinforces the thesis that gold is being treated as a monetary asset, not a commodity.</w:t>
      </w:r>
    </w:p>
    <w:p w14:paraId="17370236" w14:textId="77777777" w:rsidR="00047E8A" w:rsidRDefault="00000000">
      <w:r>
        <w:br w:type="page"/>
      </w:r>
    </w:p>
    <w:p w14:paraId="345C817F" w14:textId="77777777" w:rsidR="00047E8A" w:rsidRDefault="00000000">
      <w:pPr>
        <w:pStyle w:val="Heading1"/>
        <w:spacing w:after="120"/>
      </w:pPr>
      <w:r>
        <w:lastRenderedPageBreak/>
        <w:t>IV. PILLAR 3: THE DEBASEMENT CATCH-UP</w:t>
      </w:r>
    </w:p>
    <w:p w14:paraId="5BE0C199" w14:textId="77777777" w:rsidR="00047E8A" w:rsidRDefault="00000000">
      <w:pPr>
        <w:jc w:val="center"/>
      </w:pPr>
      <w:r>
        <w:rPr>
          <w:noProof/>
        </w:rPr>
        <w:drawing>
          <wp:inline distT="0" distB="0" distL="0" distR="0" wp14:anchorId="32CB5100" wp14:editId="3CEF4AF6">
            <wp:extent cx="5334000" cy="2800350"/>
            <wp:effectExtent l="0" t="0" r="0" b="0"/>
            <wp:docPr id="821382748" name="/home/claude/charts/03_m2_divergence.png" descr="/home/claude/charts/03_m2_divergence.png" title="/home/claude/charts/03_m2_di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00350"/>
                    </a:xfrm>
                    <a:prstGeom prst="rect">
                      <a:avLst/>
                    </a:prstGeom>
                  </pic:spPr>
                </pic:pic>
              </a:graphicData>
            </a:graphic>
          </wp:inline>
        </w:drawing>
      </w:r>
    </w:p>
    <w:p w14:paraId="586FE9F7" w14:textId="77777777" w:rsidR="00047E8A" w:rsidRDefault="00000000">
      <w:pPr>
        <w:spacing w:after="200"/>
        <w:jc w:val="center"/>
      </w:pPr>
      <w:r>
        <w:rPr>
          <w:i/>
          <w:iCs/>
          <w:color w:val="666666"/>
          <w:sz w:val="18"/>
          <w:szCs w:val="18"/>
        </w:rPr>
        <w:t>Figure 4: The Debasement Catch-Up — US M2 vs. Gold Price (indexed to Jan 2020)</w:t>
      </w:r>
    </w:p>
    <w:p w14:paraId="586F8B56" w14:textId="77777777" w:rsidR="00047E8A" w:rsidRDefault="00000000">
      <w:pPr>
        <w:spacing w:after="160"/>
      </w:pPr>
      <w:r>
        <w:rPr>
          <w:color w:val="333333"/>
        </w:rPr>
        <w:t>The US M2 money supply has expanded from $15.4 trillion in January 2020 to approximately $22.4 trillion by December 2025 — a 45% increase representing $7 trillion in additional liquidity. Gold, despite its remarkable 2025 rally, has not yet fully priced this debasement.</w:t>
      </w:r>
    </w:p>
    <w:p w14:paraId="4A413D94" w14:textId="77777777" w:rsidR="00047E8A" w:rsidRDefault="00000000">
      <w:pPr>
        <w:spacing w:after="100"/>
      </w:pPr>
      <w:r>
        <w:rPr>
          <w:rStyle w:val="FootnoteReference"/>
        </w:rPr>
        <w:footnoteReference w:id="5"/>
      </w:r>
    </w:p>
    <w:p w14:paraId="43E440B7" w14:textId="77777777" w:rsidR="00047E8A" w:rsidRDefault="00000000">
      <w:pPr>
        <w:pStyle w:val="Heading2"/>
        <w:spacing w:after="120"/>
      </w:pPr>
      <w:r>
        <w:rPr>
          <w:color w:val="333333"/>
        </w:rPr>
        <w:t>The Monetary Fair Value Calculation</w:t>
      </w:r>
    </w:p>
    <w:p w14:paraId="2693802D" w14:textId="77777777" w:rsidR="00047E8A" w:rsidRDefault="00000000">
      <w:pPr>
        <w:spacing w:after="160"/>
      </w:pPr>
      <w:r>
        <w:rPr>
          <w:color w:val="333333"/>
        </w:rPr>
        <w:t>If gold were to track M2 money supply growth from its January 2020 base of approximately $1,550 per ounce, the implied ‘monetary fair value’ would be approximately $6,100–$6,250 per ounce. At the current spot price of approximately $4,917, gold is trading at a 20–25% discount to its M2-implied fair value. Our $6,100 target represents a catch-up to monetary reality, not a speculative premium.</w:t>
      </w:r>
    </w:p>
    <w:p w14:paraId="03A91412" w14:textId="77777777" w:rsidR="00047E8A" w:rsidRDefault="00000000">
      <w:pPr>
        <w:pStyle w:val="Heading2"/>
        <w:spacing w:after="120"/>
      </w:pPr>
      <w:r>
        <w:rPr>
          <w:color w:val="333333"/>
        </w:rPr>
        <w:t>The Broken Correlation</w:t>
      </w:r>
    </w:p>
    <w:p w14:paraId="0873A23A" w14:textId="77777777" w:rsidR="00047E8A" w:rsidRDefault="00000000">
      <w:pPr>
        <w:spacing w:after="160"/>
      </w:pPr>
      <w:r>
        <w:rPr>
          <w:color w:val="333333"/>
        </w:rPr>
        <w:t>Historically, gold declined when interest rates rose. In 2025, that correlation broke decisively. Gold surged despite elevated real rates because the buyers changed. Central banks purchasing for sovereign reserve management are fundamentally different from institutional portfolio managers — they are price-insensitive, strategic buyers with multi-decade horizons. This structural shift in the buyer base means the old ‘rates up, gold down’ framework is obsolete.</w:t>
      </w:r>
    </w:p>
    <w:p w14:paraId="57233A93" w14:textId="77777777" w:rsidR="00047E8A" w:rsidRDefault="00000000">
      <w:pPr>
        <w:spacing w:after="160"/>
      </w:pPr>
      <w:r>
        <w:rPr>
          <w:color w:val="333333"/>
        </w:rPr>
        <w:t>If the US enters a recession in late 2026 and the Federal Reserve is forced to cut rates aggressively, the $6,100 target may represent the floor rather than the ceiling. The combination of monetary easing (lower opportunity cost for holding gold) with sustained central bank demand and supply constraints could push prices materially higher.</w:t>
      </w:r>
    </w:p>
    <w:p w14:paraId="7D8AF962" w14:textId="77777777" w:rsidR="00047E8A" w:rsidRDefault="00000000">
      <w:r>
        <w:br w:type="page"/>
      </w:r>
    </w:p>
    <w:p w14:paraId="578E1897" w14:textId="77777777" w:rsidR="00047E8A" w:rsidRDefault="00000000">
      <w:pPr>
        <w:pStyle w:val="Heading1"/>
        <w:spacing w:after="120"/>
      </w:pPr>
      <w:r>
        <w:lastRenderedPageBreak/>
        <w:t>V. PILLAR 4: THE AI CONDUCTIVITY MOAT</w:t>
      </w:r>
    </w:p>
    <w:p w14:paraId="01523998" w14:textId="77777777" w:rsidR="00047E8A" w:rsidRDefault="00000000">
      <w:pPr>
        <w:jc w:val="center"/>
      </w:pPr>
      <w:r>
        <w:rPr>
          <w:noProof/>
        </w:rPr>
        <w:drawing>
          <wp:inline distT="0" distB="0" distL="0" distR="0" wp14:anchorId="431B90AA" wp14:editId="1389A6AC">
            <wp:extent cx="5334000" cy="2533650"/>
            <wp:effectExtent l="0" t="0" r="0" b="0"/>
            <wp:docPr id="133838710" name="/home/claude/charts/06_ai_demand.png" descr="/home/claude/charts/06_ai_demand.png" title="/home/claude/charts/06_ai_de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33650"/>
                    </a:xfrm>
                    <a:prstGeom prst="rect">
                      <a:avLst/>
                    </a:prstGeom>
                  </pic:spPr>
                </pic:pic>
              </a:graphicData>
            </a:graphic>
          </wp:inline>
        </w:drawing>
      </w:r>
    </w:p>
    <w:p w14:paraId="4A781C70" w14:textId="77777777" w:rsidR="00047E8A" w:rsidRDefault="00000000">
      <w:pPr>
        <w:spacing w:after="200"/>
        <w:jc w:val="center"/>
      </w:pPr>
      <w:r>
        <w:rPr>
          <w:i/>
          <w:iCs/>
          <w:color w:val="666666"/>
          <w:sz w:val="18"/>
          <w:szCs w:val="18"/>
        </w:rPr>
        <w:t>Figure 5: The AI Gold Squeeze — Industrial demand in the Intelligence Age</w:t>
      </w:r>
    </w:p>
    <w:p w14:paraId="7CE7D292" w14:textId="77777777" w:rsidR="00047E8A" w:rsidRDefault="00000000">
      <w:pPr>
        <w:spacing w:after="160"/>
      </w:pPr>
      <w:r>
        <w:rPr>
          <w:color w:val="333333"/>
        </w:rPr>
        <w:t>Most analysts focus exclusively on gold as a financial asset, but its industrial role in the AI revolution is an underrated demand catalyst. Three vectors are driving incremental industrial gold demand in 2026:</w:t>
      </w:r>
    </w:p>
    <w:p w14:paraId="64862731" w14:textId="77777777" w:rsidR="00047E8A" w:rsidRDefault="00000000">
      <w:pPr>
        <w:pStyle w:val="Heading3"/>
        <w:spacing w:before="240"/>
      </w:pPr>
      <w:r>
        <w:rPr>
          <w:color w:val="333333"/>
        </w:rPr>
        <w:t>Data Centre Density</w:t>
      </w:r>
    </w:p>
    <w:p w14:paraId="099A8242" w14:textId="77777777" w:rsidR="00047E8A" w:rsidRDefault="00000000">
      <w:pPr>
        <w:spacing w:after="160"/>
      </w:pPr>
      <w:r>
        <w:rPr>
          <w:color w:val="333333"/>
        </w:rPr>
        <w:t xml:space="preserve">AI racks consume approximately 10 times more power than traditional CPU racks. This heat and power density requires materials with zero corrosion and peak conductivity for connectors, bond wires, and thermal interfaces. Gold is becoming the ‘reliability insurance’ for $100 million-plus AI clusters. With </w:t>
      </w:r>
      <w:proofErr w:type="spellStart"/>
      <w:r>
        <w:rPr>
          <w:color w:val="333333"/>
        </w:rPr>
        <w:t>hyperscalers</w:t>
      </w:r>
      <w:proofErr w:type="spellEnd"/>
      <w:r>
        <w:rPr>
          <w:color w:val="333333"/>
        </w:rPr>
        <w:t xml:space="preserve"> guiding $600 billion or more in combined AI </w:t>
      </w:r>
      <w:proofErr w:type="spellStart"/>
      <w:r>
        <w:rPr>
          <w:color w:val="333333"/>
        </w:rPr>
        <w:t>CapEx</w:t>
      </w:r>
      <w:proofErr w:type="spellEnd"/>
      <w:r>
        <w:rPr>
          <w:color w:val="333333"/>
        </w:rPr>
        <w:t xml:space="preserve"> for 2026 (Microsoft, Alphabet, Amazon, Meta, and others), gold is price-inelastic for these buyers — they need conductivity regardless of cost.</w:t>
      </w:r>
    </w:p>
    <w:p w14:paraId="0783D055" w14:textId="77777777" w:rsidR="00047E8A" w:rsidRDefault="00000000">
      <w:pPr>
        <w:pStyle w:val="Heading3"/>
        <w:spacing w:before="240"/>
      </w:pPr>
      <w:r>
        <w:rPr>
          <w:color w:val="333333"/>
        </w:rPr>
        <w:t>LEO Satellite Constellations</w:t>
      </w:r>
    </w:p>
    <w:p w14:paraId="66DC02C0" w14:textId="77777777" w:rsidR="00047E8A" w:rsidRDefault="00000000">
      <w:pPr>
        <w:spacing w:after="160"/>
      </w:pPr>
      <w:r>
        <w:rPr>
          <w:color w:val="333333"/>
        </w:rPr>
        <w:t>There has been a documented surge in gold demand for High-Density Interconnect (HDI) boards used in Low Earth Orbit satellite constellations. As global satellite internet scales, the previous industry practice of ‘thrifting’ (minimising gold content to reduce costs) has been replaced by a ‘reliability first’ mandate. The harsh conditions of space require the corrosion resistance and conductivity that only gold provides.</w:t>
      </w:r>
    </w:p>
    <w:p w14:paraId="21627098" w14:textId="77777777" w:rsidR="00047E8A" w:rsidRDefault="00000000">
      <w:pPr>
        <w:pStyle w:val="Heading3"/>
        <w:spacing w:before="240"/>
      </w:pPr>
      <w:r>
        <w:rPr>
          <w:color w:val="333333"/>
        </w:rPr>
        <w:t>Optical Interconnects</w:t>
      </w:r>
    </w:p>
    <w:p w14:paraId="58863FD3" w14:textId="77777777" w:rsidR="00047E8A" w:rsidRDefault="00000000">
      <w:pPr>
        <w:spacing w:after="160"/>
      </w:pPr>
      <w:r>
        <w:rPr>
          <w:color w:val="333333"/>
        </w:rPr>
        <w:t>As AI clusters scale beyond 10,000 GPUs, copper interconnects encounter fundamental reach limitations below one metre at 224 Gbps. The transition to optical interconnects, which rely on gold-plated connectors and components, creates an entirely new demand vector that did not exist three years ago.</w:t>
      </w:r>
    </w:p>
    <w:p w14:paraId="314B5BDE" w14:textId="77777777" w:rsidR="00047E8A" w:rsidRDefault="00000000">
      <w:r>
        <w:br w:type="page"/>
      </w:r>
    </w:p>
    <w:p w14:paraId="331021CD" w14:textId="341BC061" w:rsidR="00047E8A" w:rsidRDefault="00000000">
      <w:pPr>
        <w:pStyle w:val="Heading1"/>
        <w:spacing w:after="120"/>
      </w:pPr>
      <w:r>
        <w:lastRenderedPageBreak/>
        <w:t>VI. TECHNICAL CONVERGENCE: THE $6,100 TARGET</w:t>
      </w:r>
    </w:p>
    <w:p w14:paraId="1D56F1B7" w14:textId="77777777" w:rsidR="00604946" w:rsidRDefault="00604946">
      <w:pPr>
        <w:spacing w:after="160"/>
        <w:rPr>
          <w:color w:val="333333"/>
        </w:rPr>
      </w:pPr>
    </w:p>
    <w:p w14:paraId="0CED7A43" w14:textId="66A6855B" w:rsidR="00047E8A" w:rsidRDefault="00000000">
      <w:pPr>
        <w:spacing w:after="160"/>
      </w:pPr>
      <w:r>
        <w:rPr>
          <w:color w:val="333333"/>
        </w:rPr>
        <w:t>The $6,100 price target is independently confirmed by three distinct technical and fundamental frameworks:</w:t>
      </w:r>
    </w:p>
    <w:tbl>
      <w:tblPr>
        <w:tblW w:w="9360" w:type="dxa"/>
        <w:tblCellMar>
          <w:left w:w="10" w:type="dxa"/>
          <w:right w:w="10" w:type="dxa"/>
        </w:tblCellMar>
        <w:tblLook w:val="04A0" w:firstRow="1" w:lastRow="0" w:firstColumn="1" w:lastColumn="0" w:noHBand="0" w:noVBand="1"/>
      </w:tblPr>
      <w:tblGrid>
        <w:gridCol w:w="2500"/>
        <w:gridCol w:w="1500"/>
        <w:gridCol w:w="5360"/>
      </w:tblGrid>
      <w:tr w:rsidR="00047E8A" w14:paraId="0E631853" w14:textId="77777777" w:rsidTr="00604946">
        <w:tc>
          <w:tcPr>
            <w:tcW w:w="2500" w:type="dxa"/>
            <w:shd w:val="clear" w:color="auto" w:fill="D4AF37"/>
            <w:tcMar>
              <w:top w:w="80" w:type="dxa"/>
              <w:left w:w="120" w:type="dxa"/>
              <w:bottom w:w="80" w:type="dxa"/>
              <w:right w:w="120" w:type="dxa"/>
            </w:tcMar>
            <w:vAlign w:val="center"/>
          </w:tcPr>
          <w:p w14:paraId="0D780614" w14:textId="77777777" w:rsidR="00047E8A" w:rsidRDefault="00000000">
            <w:r>
              <w:rPr>
                <w:b/>
                <w:bCs/>
                <w:color w:val="FFFFFF"/>
                <w:sz w:val="20"/>
                <w:szCs w:val="20"/>
              </w:rPr>
              <w:t>Technical Indicator</w:t>
            </w:r>
          </w:p>
        </w:tc>
        <w:tc>
          <w:tcPr>
            <w:tcW w:w="1500" w:type="dxa"/>
            <w:shd w:val="clear" w:color="auto" w:fill="D4AF37"/>
            <w:tcMar>
              <w:top w:w="80" w:type="dxa"/>
              <w:left w:w="120" w:type="dxa"/>
              <w:bottom w:w="80" w:type="dxa"/>
              <w:right w:w="120" w:type="dxa"/>
            </w:tcMar>
            <w:vAlign w:val="center"/>
          </w:tcPr>
          <w:p w14:paraId="508DE769" w14:textId="77777777" w:rsidR="00047E8A" w:rsidRDefault="00000000">
            <w:r>
              <w:rPr>
                <w:b/>
                <w:bCs/>
                <w:color w:val="FFFFFF"/>
                <w:sz w:val="20"/>
                <w:szCs w:val="20"/>
              </w:rPr>
              <w:t>Target Value</w:t>
            </w:r>
          </w:p>
        </w:tc>
        <w:tc>
          <w:tcPr>
            <w:tcW w:w="5360" w:type="dxa"/>
            <w:shd w:val="clear" w:color="auto" w:fill="D4AF37"/>
            <w:tcMar>
              <w:top w:w="80" w:type="dxa"/>
              <w:left w:w="120" w:type="dxa"/>
              <w:bottom w:w="80" w:type="dxa"/>
              <w:right w:w="120" w:type="dxa"/>
            </w:tcMar>
            <w:vAlign w:val="center"/>
          </w:tcPr>
          <w:p w14:paraId="6EF37F2F" w14:textId="77777777" w:rsidR="00047E8A" w:rsidRDefault="00000000">
            <w:r>
              <w:rPr>
                <w:b/>
                <w:bCs/>
                <w:color w:val="FFFFFF"/>
                <w:sz w:val="20"/>
                <w:szCs w:val="20"/>
              </w:rPr>
              <w:t>Significance</w:t>
            </w:r>
          </w:p>
        </w:tc>
      </w:tr>
      <w:tr w:rsidR="00047E8A" w14:paraId="4535288C" w14:textId="77777777" w:rsidTr="00604946">
        <w:tc>
          <w:tcPr>
            <w:tcW w:w="2500" w:type="dxa"/>
            <w:shd w:val="clear" w:color="auto" w:fill="FFFFFF"/>
            <w:tcMar>
              <w:top w:w="80" w:type="dxa"/>
              <w:left w:w="120" w:type="dxa"/>
              <w:bottom w:w="80" w:type="dxa"/>
              <w:right w:w="120" w:type="dxa"/>
            </w:tcMar>
            <w:vAlign w:val="center"/>
          </w:tcPr>
          <w:p w14:paraId="0AA8F15C" w14:textId="77777777" w:rsidR="00047E8A" w:rsidRDefault="00000000">
            <w:r>
              <w:rPr>
                <w:b/>
                <w:bCs/>
                <w:color w:val="333333"/>
                <w:sz w:val="20"/>
                <w:szCs w:val="20"/>
              </w:rPr>
              <w:t>Fibonacci Extension (1.618)</w:t>
            </w:r>
          </w:p>
        </w:tc>
        <w:tc>
          <w:tcPr>
            <w:tcW w:w="1500" w:type="dxa"/>
            <w:shd w:val="clear" w:color="auto" w:fill="FFFFFF"/>
            <w:tcMar>
              <w:top w:w="80" w:type="dxa"/>
              <w:left w:w="120" w:type="dxa"/>
              <w:bottom w:w="80" w:type="dxa"/>
              <w:right w:w="120" w:type="dxa"/>
            </w:tcMar>
            <w:vAlign w:val="center"/>
          </w:tcPr>
          <w:p w14:paraId="0E401BA9" w14:textId="77777777" w:rsidR="00047E8A" w:rsidRDefault="00000000">
            <w:r>
              <w:rPr>
                <w:color w:val="D4AF37"/>
                <w:sz w:val="20"/>
                <w:szCs w:val="20"/>
              </w:rPr>
              <w:t>$6,112</w:t>
            </w:r>
          </w:p>
        </w:tc>
        <w:tc>
          <w:tcPr>
            <w:tcW w:w="5360" w:type="dxa"/>
            <w:shd w:val="clear" w:color="auto" w:fill="FFFFFF"/>
            <w:tcMar>
              <w:top w:w="80" w:type="dxa"/>
              <w:left w:w="120" w:type="dxa"/>
              <w:bottom w:w="80" w:type="dxa"/>
              <w:right w:w="120" w:type="dxa"/>
            </w:tcMar>
            <w:vAlign w:val="center"/>
          </w:tcPr>
          <w:p w14:paraId="4C71CF93" w14:textId="77777777" w:rsidR="00047E8A" w:rsidRDefault="00000000">
            <w:r>
              <w:rPr>
                <w:color w:val="333333"/>
                <w:sz w:val="20"/>
                <w:szCs w:val="20"/>
              </w:rPr>
              <w:t>Measured from Oct 2024 lows to Jan 2026 peak ($5,595). Standard 1.618 extension.</w:t>
            </w:r>
          </w:p>
        </w:tc>
      </w:tr>
      <w:tr w:rsidR="00047E8A" w14:paraId="76D2C44F" w14:textId="77777777" w:rsidTr="00604946">
        <w:tc>
          <w:tcPr>
            <w:tcW w:w="2500" w:type="dxa"/>
            <w:shd w:val="clear" w:color="auto" w:fill="F7F7F7"/>
            <w:tcMar>
              <w:top w:w="80" w:type="dxa"/>
              <w:left w:w="120" w:type="dxa"/>
              <w:bottom w:w="80" w:type="dxa"/>
              <w:right w:w="120" w:type="dxa"/>
            </w:tcMar>
            <w:vAlign w:val="center"/>
          </w:tcPr>
          <w:p w14:paraId="23615D26" w14:textId="77777777" w:rsidR="00047E8A" w:rsidRDefault="00000000">
            <w:r>
              <w:rPr>
                <w:b/>
                <w:bCs/>
                <w:color w:val="333333"/>
                <w:sz w:val="20"/>
                <w:szCs w:val="20"/>
              </w:rPr>
              <w:t>M2 Sovereign Debt Ratio</w:t>
            </w:r>
          </w:p>
        </w:tc>
        <w:tc>
          <w:tcPr>
            <w:tcW w:w="1500" w:type="dxa"/>
            <w:shd w:val="clear" w:color="auto" w:fill="F7F7F7"/>
            <w:tcMar>
              <w:top w:w="80" w:type="dxa"/>
              <w:left w:w="120" w:type="dxa"/>
              <w:bottom w:w="80" w:type="dxa"/>
              <w:right w:w="120" w:type="dxa"/>
            </w:tcMar>
            <w:vAlign w:val="center"/>
          </w:tcPr>
          <w:p w14:paraId="693F4FEC" w14:textId="77777777" w:rsidR="00047E8A" w:rsidRDefault="00000000">
            <w:r>
              <w:rPr>
                <w:color w:val="D4AF37"/>
                <w:sz w:val="20"/>
                <w:szCs w:val="20"/>
              </w:rPr>
              <w:t>$6,100–$6,250</w:t>
            </w:r>
          </w:p>
        </w:tc>
        <w:tc>
          <w:tcPr>
            <w:tcW w:w="5360" w:type="dxa"/>
            <w:shd w:val="clear" w:color="auto" w:fill="F7F7F7"/>
            <w:tcMar>
              <w:top w:w="80" w:type="dxa"/>
              <w:left w:w="120" w:type="dxa"/>
              <w:bottom w:w="80" w:type="dxa"/>
              <w:right w:w="120" w:type="dxa"/>
            </w:tcMar>
            <w:vAlign w:val="center"/>
          </w:tcPr>
          <w:p w14:paraId="3CE9F7C3" w14:textId="77777777" w:rsidR="00047E8A" w:rsidRDefault="00000000">
            <w:r>
              <w:rPr>
                <w:color w:val="333333"/>
                <w:sz w:val="20"/>
                <w:szCs w:val="20"/>
              </w:rPr>
              <w:t>M2-implied fair value if gold tracked US money supply growth since Jan 2020.</w:t>
            </w:r>
          </w:p>
        </w:tc>
      </w:tr>
      <w:tr w:rsidR="00047E8A" w14:paraId="01AC7C86" w14:textId="77777777" w:rsidTr="00604946">
        <w:tc>
          <w:tcPr>
            <w:tcW w:w="2500" w:type="dxa"/>
            <w:shd w:val="clear" w:color="auto" w:fill="FFFFFF"/>
            <w:tcMar>
              <w:top w:w="80" w:type="dxa"/>
              <w:left w:w="120" w:type="dxa"/>
              <w:bottom w:w="80" w:type="dxa"/>
              <w:right w:w="120" w:type="dxa"/>
            </w:tcMar>
            <w:vAlign w:val="center"/>
          </w:tcPr>
          <w:p w14:paraId="0EC20E0D" w14:textId="77777777" w:rsidR="00047E8A" w:rsidRDefault="00000000">
            <w:r>
              <w:rPr>
                <w:b/>
                <w:bCs/>
                <w:color w:val="333333"/>
                <w:sz w:val="20"/>
                <w:szCs w:val="20"/>
              </w:rPr>
              <w:t>Institutional Consensus</w:t>
            </w:r>
          </w:p>
        </w:tc>
        <w:tc>
          <w:tcPr>
            <w:tcW w:w="1500" w:type="dxa"/>
            <w:shd w:val="clear" w:color="auto" w:fill="FFFFFF"/>
            <w:tcMar>
              <w:top w:w="80" w:type="dxa"/>
              <w:left w:w="120" w:type="dxa"/>
              <w:bottom w:w="80" w:type="dxa"/>
              <w:right w:w="120" w:type="dxa"/>
            </w:tcMar>
            <w:vAlign w:val="center"/>
          </w:tcPr>
          <w:p w14:paraId="45A1CC3C" w14:textId="77777777" w:rsidR="00047E8A" w:rsidRDefault="00000000">
            <w:r>
              <w:rPr>
                <w:color w:val="D4AF37"/>
                <w:sz w:val="20"/>
                <w:szCs w:val="20"/>
              </w:rPr>
              <w:t>$6,100–$6,300</w:t>
            </w:r>
          </w:p>
        </w:tc>
        <w:tc>
          <w:tcPr>
            <w:tcW w:w="5360" w:type="dxa"/>
            <w:shd w:val="clear" w:color="auto" w:fill="FFFFFF"/>
            <w:tcMar>
              <w:top w:w="80" w:type="dxa"/>
              <w:left w:w="120" w:type="dxa"/>
              <w:bottom w:w="80" w:type="dxa"/>
              <w:right w:w="120" w:type="dxa"/>
            </w:tcMar>
            <w:vAlign w:val="center"/>
          </w:tcPr>
          <w:p w14:paraId="6B24E685" w14:textId="77777777" w:rsidR="00047E8A" w:rsidRDefault="00000000">
            <w:r>
              <w:rPr>
                <w:color w:val="333333"/>
                <w:sz w:val="20"/>
                <w:szCs w:val="20"/>
              </w:rPr>
              <w:t>Wells Fargo ($6,100–$6,300), J.P. Morgan ($6,300), UBS ($6,200), Deutsche Bank ($6,000).</w:t>
            </w:r>
          </w:p>
        </w:tc>
      </w:tr>
    </w:tbl>
    <w:p w14:paraId="1FA1F3BC" w14:textId="77777777" w:rsidR="00604946" w:rsidRDefault="00604946">
      <w:pPr>
        <w:pStyle w:val="Heading2"/>
        <w:spacing w:after="120"/>
        <w:rPr>
          <w:color w:val="333333"/>
        </w:rPr>
      </w:pPr>
    </w:p>
    <w:p w14:paraId="3E364565" w14:textId="77777777" w:rsidR="00604946" w:rsidRDefault="00604946">
      <w:pPr>
        <w:pStyle w:val="Heading2"/>
        <w:spacing w:after="120"/>
        <w:rPr>
          <w:color w:val="333333"/>
        </w:rPr>
      </w:pPr>
    </w:p>
    <w:p w14:paraId="7E6E622B" w14:textId="23102A5F" w:rsidR="00047E8A" w:rsidRDefault="00000000">
      <w:pPr>
        <w:pStyle w:val="Heading2"/>
        <w:spacing w:after="120"/>
      </w:pPr>
      <w:r>
        <w:rPr>
          <w:color w:val="333333"/>
        </w:rPr>
        <w:t>Institutional Price Target Matrix</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047E8A" w14:paraId="2340DFA5" w14:textId="77777777" w:rsidTr="00604946">
        <w:tc>
          <w:tcPr>
            <w:tcW w:w="2340" w:type="dxa"/>
            <w:shd w:val="clear" w:color="auto" w:fill="D4AF37"/>
            <w:tcMar>
              <w:top w:w="80" w:type="dxa"/>
              <w:left w:w="120" w:type="dxa"/>
              <w:bottom w:w="80" w:type="dxa"/>
              <w:right w:w="120" w:type="dxa"/>
            </w:tcMar>
            <w:vAlign w:val="center"/>
          </w:tcPr>
          <w:p w14:paraId="6BB91317" w14:textId="77777777" w:rsidR="00047E8A" w:rsidRDefault="00000000">
            <w:r>
              <w:rPr>
                <w:b/>
                <w:bCs/>
                <w:color w:val="FFFFFF"/>
                <w:sz w:val="20"/>
                <w:szCs w:val="20"/>
              </w:rPr>
              <w:t>Institution</w:t>
            </w:r>
          </w:p>
        </w:tc>
        <w:tc>
          <w:tcPr>
            <w:tcW w:w="2340" w:type="dxa"/>
            <w:shd w:val="clear" w:color="auto" w:fill="D4AF37"/>
            <w:tcMar>
              <w:top w:w="80" w:type="dxa"/>
              <w:left w:w="120" w:type="dxa"/>
              <w:bottom w:w="80" w:type="dxa"/>
              <w:right w:w="120" w:type="dxa"/>
            </w:tcMar>
            <w:vAlign w:val="center"/>
          </w:tcPr>
          <w:p w14:paraId="361E42C8" w14:textId="77777777" w:rsidR="00047E8A" w:rsidRDefault="00000000">
            <w:r>
              <w:rPr>
                <w:b/>
                <w:bCs/>
                <w:color w:val="FFFFFF"/>
                <w:sz w:val="20"/>
                <w:szCs w:val="20"/>
              </w:rPr>
              <w:t>Year-End 2026 Target</w:t>
            </w:r>
          </w:p>
        </w:tc>
        <w:tc>
          <w:tcPr>
            <w:tcW w:w="2340" w:type="dxa"/>
            <w:shd w:val="clear" w:color="auto" w:fill="D4AF37"/>
            <w:tcMar>
              <w:top w:w="80" w:type="dxa"/>
              <w:left w:w="120" w:type="dxa"/>
              <w:bottom w:w="80" w:type="dxa"/>
              <w:right w:w="120" w:type="dxa"/>
            </w:tcMar>
            <w:vAlign w:val="center"/>
          </w:tcPr>
          <w:p w14:paraId="41F4BC03" w14:textId="77777777" w:rsidR="00047E8A" w:rsidRDefault="00000000">
            <w:r>
              <w:rPr>
                <w:b/>
                <w:bCs/>
                <w:color w:val="FFFFFF"/>
                <w:sz w:val="20"/>
                <w:szCs w:val="20"/>
              </w:rPr>
              <w:t>Implied Upside</w:t>
            </w:r>
          </w:p>
        </w:tc>
        <w:tc>
          <w:tcPr>
            <w:tcW w:w="2340" w:type="dxa"/>
            <w:shd w:val="clear" w:color="auto" w:fill="D4AF37"/>
            <w:tcMar>
              <w:top w:w="80" w:type="dxa"/>
              <w:left w:w="120" w:type="dxa"/>
              <w:bottom w:w="80" w:type="dxa"/>
              <w:right w:w="120" w:type="dxa"/>
            </w:tcMar>
            <w:vAlign w:val="center"/>
          </w:tcPr>
          <w:p w14:paraId="64DD9242" w14:textId="77777777" w:rsidR="00047E8A" w:rsidRDefault="00000000">
            <w:r>
              <w:rPr>
                <w:b/>
                <w:bCs/>
                <w:color w:val="FFFFFF"/>
                <w:sz w:val="20"/>
                <w:szCs w:val="20"/>
              </w:rPr>
              <w:t>Date Issued</w:t>
            </w:r>
          </w:p>
        </w:tc>
      </w:tr>
      <w:tr w:rsidR="00047E8A" w14:paraId="632789BD" w14:textId="77777777" w:rsidTr="00604946">
        <w:tc>
          <w:tcPr>
            <w:tcW w:w="2340" w:type="dxa"/>
            <w:shd w:val="clear" w:color="auto" w:fill="FFFFFF"/>
            <w:tcMar>
              <w:top w:w="80" w:type="dxa"/>
              <w:left w:w="120" w:type="dxa"/>
              <w:bottom w:w="80" w:type="dxa"/>
              <w:right w:w="120" w:type="dxa"/>
            </w:tcMar>
            <w:vAlign w:val="center"/>
          </w:tcPr>
          <w:p w14:paraId="0AD0857A" w14:textId="77777777" w:rsidR="00047E8A" w:rsidRDefault="00000000">
            <w:r>
              <w:rPr>
                <w:b/>
                <w:bCs/>
                <w:color w:val="333333"/>
                <w:sz w:val="20"/>
                <w:szCs w:val="20"/>
              </w:rPr>
              <w:t>J.P. Morgan</w:t>
            </w:r>
          </w:p>
        </w:tc>
        <w:tc>
          <w:tcPr>
            <w:tcW w:w="2340" w:type="dxa"/>
            <w:shd w:val="clear" w:color="auto" w:fill="FFFFFF"/>
            <w:tcMar>
              <w:top w:w="80" w:type="dxa"/>
              <w:left w:w="120" w:type="dxa"/>
              <w:bottom w:w="80" w:type="dxa"/>
              <w:right w:w="120" w:type="dxa"/>
            </w:tcMar>
            <w:vAlign w:val="center"/>
          </w:tcPr>
          <w:p w14:paraId="7C9D4633" w14:textId="77777777" w:rsidR="00047E8A" w:rsidRDefault="00000000">
            <w:r>
              <w:rPr>
                <w:color w:val="D4AF37"/>
                <w:sz w:val="20"/>
                <w:szCs w:val="20"/>
              </w:rPr>
              <w:t>$6,300</w:t>
            </w:r>
          </w:p>
        </w:tc>
        <w:tc>
          <w:tcPr>
            <w:tcW w:w="2340" w:type="dxa"/>
            <w:shd w:val="clear" w:color="auto" w:fill="FFFFFF"/>
            <w:tcMar>
              <w:top w:w="80" w:type="dxa"/>
              <w:left w:w="120" w:type="dxa"/>
              <w:bottom w:w="80" w:type="dxa"/>
              <w:right w:w="120" w:type="dxa"/>
            </w:tcMar>
            <w:vAlign w:val="center"/>
          </w:tcPr>
          <w:p w14:paraId="389B0B2A" w14:textId="77777777" w:rsidR="00047E8A" w:rsidRDefault="00000000">
            <w:r>
              <w:rPr>
                <w:color w:val="333333"/>
                <w:sz w:val="20"/>
                <w:szCs w:val="20"/>
              </w:rPr>
              <w:t>+28%</w:t>
            </w:r>
          </w:p>
        </w:tc>
        <w:tc>
          <w:tcPr>
            <w:tcW w:w="2340" w:type="dxa"/>
            <w:shd w:val="clear" w:color="auto" w:fill="FFFFFF"/>
            <w:tcMar>
              <w:top w:w="80" w:type="dxa"/>
              <w:left w:w="120" w:type="dxa"/>
              <w:bottom w:w="80" w:type="dxa"/>
              <w:right w:w="120" w:type="dxa"/>
            </w:tcMar>
            <w:vAlign w:val="center"/>
          </w:tcPr>
          <w:p w14:paraId="2F080EAB" w14:textId="77777777" w:rsidR="00047E8A" w:rsidRDefault="00000000">
            <w:r>
              <w:rPr>
                <w:color w:val="333333"/>
                <w:sz w:val="20"/>
                <w:szCs w:val="20"/>
              </w:rPr>
              <w:t>Feb 2, 2026</w:t>
            </w:r>
          </w:p>
        </w:tc>
      </w:tr>
      <w:tr w:rsidR="00047E8A" w14:paraId="0CC13284" w14:textId="77777777" w:rsidTr="00604946">
        <w:tc>
          <w:tcPr>
            <w:tcW w:w="2340" w:type="dxa"/>
            <w:shd w:val="clear" w:color="auto" w:fill="F7F7F7"/>
            <w:tcMar>
              <w:top w:w="80" w:type="dxa"/>
              <w:left w:w="120" w:type="dxa"/>
              <w:bottom w:w="80" w:type="dxa"/>
              <w:right w:w="120" w:type="dxa"/>
            </w:tcMar>
            <w:vAlign w:val="center"/>
          </w:tcPr>
          <w:p w14:paraId="7EDC0CC5" w14:textId="77777777" w:rsidR="00047E8A" w:rsidRDefault="00000000">
            <w:r>
              <w:rPr>
                <w:b/>
                <w:bCs/>
                <w:color w:val="333333"/>
                <w:sz w:val="20"/>
                <w:szCs w:val="20"/>
              </w:rPr>
              <w:t>UBS</w:t>
            </w:r>
          </w:p>
        </w:tc>
        <w:tc>
          <w:tcPr>
            <w:tcW w:w="2340" w:type="dxa"/>
            <w:shd w:val="clear" w:color="auto" w:fill="F7F7F7"/>
            <w:tcMar>
              <w:top w:w="80" w:type="dxa"/>
              <w:left w:w="120" w:type="dxa"/>
              <w:bottom w:w="80" w:type="dxa"/>
              <w:right w:w="120" w:type="dxa"/>
            </w:tcMar>
            <w:vAlign w:val="center"/>
          </w:tcPr>
          <w:p w14:paraId="5AE2DE19" w14:textId="77777777" w:rsidR="00047E8A" w:rsidRDefault="00000000">
            <w:r>
              <w:rPr>
                <w:color w:val="D4AF37"/>
                <w:sz w:val="20"/>
                <w:szCs w:val="20"/>
              </w:rPr>
              <w:t>$6,200</w:t>
            </w:r>
          </w:p>
        </w:tc>
        <w:tc>
          <w:tcPr>
            <w:tcW w:w="2340" w:type="dxa"/>
            <w:shd w:val="clear" w:color="auto" w:fill="F7F7F7"/>
            <w:tcMar>
              <w:top w:w="80" w:type="dxa"/>
              <w:left w:w="120" w:type="dxa"/>
              <w:bottom w:w="80" w:type="dxa"/>
              <w:right w:w="120" w:type="dxa"/>
            </w:tcMar>
            <w:vAlign w:val="center"/>
          </w:tcPr>
          <w:p w14:paraId="4C6F3A93" w14:textId="77777777" w:rsidR="00047E8A" w:rsidRDefault="00000000">
            <w:r>
              <w:rPr>
                <w:color w:val="333333"/>
                <w:sz w:val="20"/>
                <w:szCs w:val="20"/>
              </w:rPr>
              <w:t>+26%</w:t>
            </w:r>
          </w:p>
        </w:tc>
        <w:tc>
          <w:tcPr>
            <w:tcW w:w="2340" w:type="dxa"/>
            <w:shd w:val="clear" w:color="auto" w:fill="F7F7F7"/>
            <w:tcMar>
              <w:top w:w="80" w:type="dxa"/>
              <w:left w:w="120" w:type="dxa"/>
              <w:bottom w:w="80" w:type="dxa"/>
              <w:right w:w="120" w:type="dxa"/>
            </w:tcMar>
            <w:vAlign w:val="center"/>
          </w:tcPr>
          <w:p w14:paraId="6226FCE8" w14:textId="77777777" w:rsidR="00047E8A" w:rsidRDefault="00000000">
            <w:r>
              <w:rPr>
                <w:color w:val="333333"/>
                <w:sz w:val="20"/>
                <w:szCs w:val="20"/>
              </w:rPr>
              <w:t>Jan 29, 2026</w:t>
            </w:r>
          </w:p>
        </w:tc>
      </w:tr>
      <w:tr w:rsidR="00047E8A" w14:paraId="33EDFD3A" w14:textId="77777777" w:rsidTr="00604946">
        <w:tc>
          <w:tcPr>
            <w:tcW w:w="2340" w:type="dxa"/>
            <w:shd w:val="clear" w:color="auto" w:fill="FFFFFF"/>
            <w:tcMar>
              <w:top w:w="80" w:type="dxa"/>
              <w:left w:w="120" w:type="dxa"/>
              <w:bottom w:w="80" w:type="dxa"/>
              <w:right w:w="120" w:type="dxa"/>
            </w:tcMar>
            <w:vAlign w:val="center"/>
          </w:tcPr>
          <w:p w14:paraId="6ABBAA72" w14:textId="77777777" w:rsidR="00047E8A" w:rsidRDefault="00000000">
            <w:r>
              <w:rPr>
                <w:b/>
                <w:bCs/>
                <w:color w:val="333333"/>
                <w:sz w:val="20"/>
                <w:szCs w:val="20"/>
              </w:rPr>
              <w:t>Wells Fargo</w:t>
            </w:r>
          </w:p>
        </w:tc>
        <w:tc>
          <w:tcPr>
            <w:tcW w:w="2340" w:type="dxa"/>
            <w:shd w:val="clear" w:color="auto" w:fill="FFFFFF"/>
            <w:tcMar>
              <w:top w:w="80" w:type="dxa"/>
              <w:left w:w="120" w:type="dxa"/>
              <w:bottom w:w="80" w:type="dxa"/>
              <w:right w:w="120" w:type="dxa"/>
            </w:tcMar>
            <w:vAlign w:val="center"/>
          </w:tcPr>
          <w:p w14:paraId="3C86D5F8" w14:textId="77777777" w:rsidR="00047E8A" w:rsidRDefault="00000000">
            <w:r>
              <w:rPr>
                <w:color w:val="D4AF37"/>
                <w:sz w:val="20"/>
                <w:szCs w:val="20"/>
              </w:rPr>
              <w:t>$6,100–$6,300</w:t>
            </w:r>
          </w:p>
        </w:tc>
        <w:tc>
          <w:tcPr>
            <w:tcW w:w="2340" w:type="dxa"/>
            <w:shd w:val="clear" w:color="auto" w:fill="FFFFFF"/>
            <w:tcMar>
              <w:top w:w="80" w:type="dxa"/>
              <w:left w:w="120" w:type="dxa"/>
              <w:bottom w:w="80" w:type="dxa"/>
              <w:right w:w="120" w:type="dxa"/>
            </w:tcMar>
            <w:vAlign w:val="center"/>
          </w:tcPr>
          <w:p w14:paraId="1BCB5CEB" w14:textId="77777777" w:rsidR="00047E8A" w:rsidRDefault="00000000">
            <w:r>
              <w:rPr>
                <w:color w:val="333333"/>
                <w:sz w:val="20"/>
                <w:szCs w:val="20"/>
              </w:rPr>
              <w:t>+24–28%</w:t>
            </w:r>
          </w:p>
        </w:tc>
        <w:tc>
          <w:tcPr>
            <w:tcW w:w="2340" w:type="dxa"/>
            <w:shd w:val="clear" w:color="auto" w:fill="FFFFFF"/>
            <w:tcMar>
              <w:top w:w="80" w:type="dxa"/>
              <w:left w:w="120" w:type="dxa"/>
              <w:bottom w:w="80" w:type="dxa"/>
              <w:right w:w="120" w:type="dxa"/>
            </w:tcMar>
            <w:vAlign w:val="center"/>
          </w:tcPr>
          <w:p w14:paraId="63B86455" w14:textId="77777777" w:rsidR="00047E8A" w:rsidRDefault="00000000">
            <w:r>
              <w:rPr>
                <w:color w:val="333333"/>
                <w:sz w:val="20"/>
                <w:szCs w:val="20"/>
              </w:rPr>
              <w:t>Feb 4, 2026</w:t>
            </w:r>
          </w:p>
        </w:tc>
      </w:tr>
      <w:tr w:rsidR="00047E8A" w14:paraId="44B7EF3D" w14:textId="77777777" w:rsidTr="00604946">
        <w:tc>
          <w:tcPr>
            <w:tcW w:w="2340" w:type="dxa"/>
            <w:shd w:val="clear" w:color="auto" w:fill="F7F7F7"/>
            <w:tcMar>
              <w:top w:w="80" w:type="dxa"/>
              <w:left w:w="120" w:type="dxa"/>
              <w:bottom w:w="80" w:type="dxa"/>
              <w:right w:w="120" w:type="dxa"/>
            </w:tcMar>
            <w:vAlign w:val="center"/>
          </w:tcPr>
          <w:p w14:paraId="4C186692" w14:textId="77777777" w:rsidR="00047E8A" w:rsidRDefault="00000000">
            <w:r>
              <w:rPr>
                <w:b/>
                <w:bCs/>
                <w:color w:val="333333"/>
                <w:sz w:val="20"/>
                <w:szCs w:val="20"/>
              </w:rPr>
              <w:t>Deutsche Bank</w:t>
            </w:r>
          </w:p>
        </w:tc>
        <w:tc>
          <w:tcPr>
            <w:tcW w:w="2340" w:type="dxa"/>
            <w:shd w:val="clear" w:color="auto" w:fill="F7F7F7"/>
            <w:tcMar>
              <w:top w:w="80" w:type="dxa"/>
              <w:left w:w="120" w:type="dxa"/>
              <w:bottom w:w="80" w:type="dxa"/>
              <w:right w:w="120" w:type="dxa"/>
            </w:tcMar>
            <w:vAlign w:val="center"/>
          </w:tcPr>
          <w:p w14:paraId="5F23DA56" w14:textId="77777777" w:rsidR="00047E8A" w:rsidRDefault="00000000">
            <w:r>
              <w:rPr>
                <w:color w:val="D4AF37"/>
                <w:sz w:val="20"/>
                <w:szCs w:val="20"/>
              </w:rPr>
              <w:t>$6,000</w:t>
            </w:r>
          </w:p>
        </w:tc>
        <w:tc>
          <w:tcPr>
            <w:tcW w:w="2340" w:type="dxa"/>
            <w:shd w:val="clear" w:color="auto" w:fill="F7F7F7"/>
            <w:tcMar>
              <w:top w:w="80" w:type="dxa"/>
              <w:left w:w="120" w:type="dxa"/>
              <w:bottom w:w="80" w:type="dxa"/>
              <w:right w:w="120" w:type="dxa"/>
            </w:tcMar>
            <w:vAlign w:val="center"/>
          </w:tcPr>
          <w:p w14:paraId="7D7BF346" w14:textId="77777777" w:rsidR="00047E8A" w:rsidRDefault="00000000">
            <w:r>
              <w:rPr>
                <w:color w:val="333333"/>
                <w:sz w:val="20"/>
                <w:szCs w:val="20"/>
              </w:rPr>
              <w:t>+22%</w:t>
            </w:r>
          </w:p>
        </w:tc>
        <w:tc>
          <w:tcPr>
            <w:tcW w:w="2340" w:type="dxa"/>
            <w:shd w:val="clear" w:color="auto" w:fill="F7F7F7"/>
            <w:tcMar>
              <w:top w:w="80" w:type="dxa"/>
              <w:left w:w="120" w:type="dxa"/>
              <w:bottom w:w="80" w:type="dxa"/>
              <w:right w:w="120" w:type="dxa"/>
            </w:tcMar>
            <w:vAlign w:val="center"/>
          </w:tcPr>
          <w:p w14:paraId="1730C310" w14:textId="77777777" w:rsidR="00047E8A" w:rsidRDefault="00000000">
            <w:r>
              <w:rPr>
                <w:color w:val="333333"/>
                <w:sz w:val="20"/>
                <w:szCs w:val="20"/>
              </w:rPr>
              <w:t>Jan 26, 2026</w:t>
            </w:r>
          </w:p>
        </w:tc>
      </w:tr>
      <w:tr w:rsidR="00047E8A" w14:paraId="36D018D3" w14:textId="77777777" w:rsidTr="00604946">
        <w:tc>
          <w:tcPr>
            <w:tcW w:w="2340" w:type="dxa"/>
            <w:shd w:val="clear" w:color="auto" w:fill="FFFFFF"/>
            <w:tcMar>
              <w:top w:w="80" w:type="dxa"/>
              <w:left w:w="120" w:type="dxa"/>
              <w:bottom w:w="80" w:type="dxa"/>
              <w:right w:w="120" w:type="dxa"/>
            </w:tcMar>
            <w:vAlign w:val="center"/>
          </w:tcPr>
          <w:p w14:paraId="5F61DA5D" w14:textId="77777777" w:rsidR="00047E8A" w:rsidRDefault="00000000">
            <w:r>
              <w:rPr>
                <w:b/>
                <w:bCs/>
                <w:color w:val="333333"/>
                <w:sz w:val="20"/>
                <w:szCs w:val="20"/>
              </w:rPr>
              <w:t>Société Générale</w:t>
            </w:r>
          </w:p>
        </w:tc>
        <w:tc>
          <w:tcPr>
            <w:tcW w:w="2340" w:type="dxa"/>
            <w:shd w:val="clear" w:color="auto" w:fill="FFFFFF"/>
            <w:tcMar>
              <w:top w:w="80" w:type="dxa"/>
              <w:left w:w="120" w:type="dxa"/>
              <w:bottom w:w="80" w:type="dxa"/>
              <w:right w:w="120" w:type="dxa"/>
            </w:tcMar>
            <w:vAlign w:val="center"/>
          </w:tcPr>
          <w:p w14:paraId="48030E82" w14:textId="77777777" w:rsidR="00047E8A" w:rsidRDefault="00000000">
            <w:r>
              <w:rPr>
                <w:color w:val="D4AF37"/>
                <w:sz w:val="20"/>
                <w:szCs w:val="20"/>
              </w:rPr>
              <w:t>$6,000</w:t>
            </w:r>
          </w:p>
        </w:tc>
        <w:tc>
          <w:tcPr>
            <w:tcW w:w="2340" w:type="dxa"/>
            <w:shd w:val="clear" w:color="auto" w:fill="FFFFFF"/>
            <w:tcMar>
              <w:top w:w="80" w:type="dxa"/>
              <w:left w:w="120" w:type="dxa"/>
              <w:bottom w:w="80" w:type="dxa"/>
              <w:right w:w="120" w:type="dxa"/>
            </w:tcMar>
            <w:vAlign w:val="center"/>
          </w:tcPr>
          <w:p w14:paraId="38505A35" w14:textId="77777777" w:rsidR="00047E8A" w:rsidRDefault="00000000">
            <w:r>
              <w:rPr>
                <w:color w:val="333333"/>
                <w:sz w:val="20"/>
                <w:szCs w:val="20"/>
              </w:rPr>
              <w:t>+22%</w:t>
            </w:r>
          </w:p>
        </w:tc>
        <w:tc>
          <w:tcPr>
            <w:tcW w:w="2340" w:type="dxa"/>
            <w:shd w:val="clear" w:color="auto" w:fill="FFFFFF"/>
            <w:tcMar>
              <w:top w:w="80" w:type="dxa"/>
              <w:left w:w="120" w:type="dxa"/>
              <w:bottom w:w="80" w:type="dxa"/>
              <w:right w:w="120" w:type="dxa"/>
            </w:tcMar>
            <w:vAlign w:val="center"/>
          </w:tcPr>
          <w:p w14:paraId="7DA179F1" w14:textId="77777777" w:rsidR="00047E8A" w:rsidRDefault="00000000">
            <w:r>
              <w:rPr>
                <w:color w:val="333333"/>
                <w:sz w:val="20"/>
                <w:szCs w:val="20"/>
              </w:rPr>
              <w:t>Jan 26, 2026</w:t>
            </w:r>
          </w:p>
        </w:tc>
      </w:tr>
      <w:tr w:rsidR="00047E8A" w14:paraId="124C391C" w14:textId="77777777" w:rsidTr="00604946">
        <w:tc>
          <w:tcPr>
            <w:tcW w:w="2340" w:type="dxa"/>
            <w:shd w:val="clear" w:color="auto" w:fill="F7F7F7"/>
            <w:tcMar>
              <w:top w:w="80" w:type="dxa"/>
              <w:left w:w="120" w:type="dxa"/>
              <w:bottom w:w="80" w:type="dxa"/>
              <w:right w:w="120" w:type="dxa"/>
            </w:tcMar>
            <w:vAlign w:val="center"/>
          </w:tcPr>
          <w:p w14:paraId="68551D4F" w14:textId="77777777" w:rsidR="00047E8A" w:rsidRDefault="00000000">
            <w:r>
              <w:rPr>
                <w:b/>
                <w:bCs/>
                <w:color w:val="333333"/>
                <w:sz w:val="20"/>
                <w:szCs w:val="20"/>
              </w:rPr>
              <w:t>Goldman Sachs</w:t>
            </w:r>
          </w:p>
        </w:tc>
        <w:tc>
          <w:tcPr>
            <w:tcW w:w="2340" w:type="dxa"/>
            <w:shd w:val="clear" w:color="auto" w:fill="F7F7F7"/>
            <w:tcMar>
              <w:top w:w="80" w:type="dxa"/>
              <w:left w:w="120" w:type="dxa"/>
              <w:bottom w:w="80" w:type="dxa"/>
              <w:right w:w="120" w:type="dxa"/>
            </w:tcMar>
            <w:vAlign w:val="center"/>
          </w:tcPr>
          <w:p w14:paraId="2452448E" w14:textId="77777777" w:rsidR="00047E8A" w:rsidRDefault="00000000">
            <w:r>
              <w:rPr>
                <w:color w:val="333333"/>
                <w:sz w:val="20"/>
                <w:szCs w:val="20"/>
              </w:rPr>
              <w:t>$5,400</w:t>
            </w:r>
          </w:p>
        </w:tc>
        <w:tc>
          <w:tcPr>
            <w:tcW w:w="2340" w:type="dxa"/>
            <w:shd w:val="clear" w:color="auto" w:fill="F7F7F7"/>
            <w:tcMar>
              <w:top w:w="80" w:type="dxa"/>
              <w:left w:w="120" w:type="dxa"/>
              <w:bottom w:w="80" w:type="dxa"/>
              <w:right w:w="120" w:type="dxa"/>
            </w:tcMar>
            <w:vAlign w:val="center"/>
          </w:tcPr>
          <w:p w14:paraId="031CC1CC" w14:textId="77777777" w:rsidR="00047E8A" w:rsidRDefault="00000000">
            <w:r>
              <w:rPr>
                <w:color w:val="333333"/>
                <w:sz w:val="20"/>
                <w:szCs w:val="20"/>
              </w:rPr>
              <w:t>+10%</w:t>
            </w:r>
          </w:p>
        </w:tc>
        <w:tc>
          <w:tcPr>
            <w:tcW w:w="2340" w:type="dxa"/>
            <w:shd w:val="clear" w:color="auto" w:fill="F7F7F7"/>
            <w:tcMar>
              <w:top w:w="80" w:type="dxa"/>
              <w:left w:w="120" w:type="dxa"/>
              <w:bottom w:w="80" w:type="dxa"/>
              <w:right w:w="120" w:type="dxa"/>
            </w:tcMar>
            <w:vAlign w:val="center"/>
          </w:tcPr>
          <w:p w14:paraId="01436A28" w14:textId="77777777" w:rsidR="00047E8A" w:rsidRDefault="00000000">
            <w:r>
              <w:rPr>
                <w:color w:val="333333"/>
                <w:sz w:val="20"/>
                <w:szCs w:val="20"/>
              </w:rPr>
              <w:t>Jan 22, 2026</w:t>
            </w:r>
          </w:p>
        </w:tc>
      </w:tr>
    </w:tbl>
    <w:p w14:paraId="1137909B" w14:textId="77777777" w:rsidR="00047E8A" w:rsidRDefault="00000000">
      <w:r>
        <w:br w:type="page"/>
      </w:r>
    </w:p>
    <w:p w14:paraId="1BB33BD2" w14:textId="77777777" w:rsidR="00047E8A" w:rsidRDefault="00000000">
      <w:pPr>
        <w:pStyle w:val="Heading1"/>
        <w:spacing w:after="120"/>
      </w:pPr>
      <w:r>
        <w:lastRenderedPageBreak/>
        <w:t>VII. 2026 CATALYST TIMELINE: THE $6,100 ROADMAP</w:t>
      </w:r>
    </w:p>
    <w:p w14:paraId="460AA516" w14:textId="77777777" w:rsidR="00047E8A" w:rsidRDefault="00000000">
      <w:pPr>
        <w:jc w:val="center"/>
      </w:pPr>
      <w:r>
        <w:rPr>
          <w:noProof/>
        </w:rPr>
        <w:drawing>
          <wp:inline distT="0" distB="0" distL="0" distR="0" wp14:anchorId="22CBD0F4" wp14:editId="001BEA86">
            <wp:extent cx="5334000" cy="3200400"/>
            <wp:effectExtent l="0" t="0" r="0" b="0"/>
            <wp:docPr id="1177654328" name="/home/claude/charts/05_catalyst_timeline.png" descr="/home/claude/charts/05_catalyst_timeline.png" title="/home/claude/charts/05_catalyst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00400"/>
                    </a:xfrm>
                    <a:prstGeom prst="rect">
                      <a:avLst/>
                    </a:prstGeom>
                  </pic:spPr>
                </pic:pic>
              </a:graphicData>
            </a:graphic>
          </wp:inline>
        </w:drawing>
      </w:r>
    </w:p>
    <w:p w14:paraId="216C1915" w14:textId="77777777" w:rsidR="00047E8A" w:rsidRDefault="00000000">
      <w:pPr>
        <w:spacing w:after="200"/>
        <w:jc w:val="center"/>
      </w:pPr>
      <w:r>
        <w:rPr>
          <w:i/>
          <w:iCs/>
          <w:color w:val="666666"/>
          <w:sz w:val="18"/>
          <w:szCs w:val="18"/>
        </w:rPr>
        <w:t>Figure 6: 2026 Catalyst Timeline mapped by origin and impact severity</w:t>
      </w:r>
    </w:p>
    <w:tbl>
      <w:tblPr>
        <w:tblW w:w="9360" w:type="dxa"/>
        <w:tblCellMar>
          <w:left w:w="10" w:type="dxa"/>
          <w:right w:w="10" w:type="dxa"/>
        </w:tblCellMar>
        <w:tblLook w:val="04A0" w:firstRow="1" w:lastRow="0" w:firstColumn="1" w:lastColumn="0" w:noHBand="0" w:noVBand="1"/>
      </w:tblPr>
      <w:tblGrid>
        <w:gridCol w:w="3120"/>
        <w:gridCol w:w="1560"/>
        <w:gridCol w:w="1560"/>
        <w:gridCol w:w="3120"/>
      </w:tblGrid>
      <w:tr w:rsidR="00047E8A" w14:paraId="44F35B64" w14:textId="77777777" w:rsidTr="00604946">
        <w:tc>
          <w:tcPr>
            <w:tcW w:w="3120" w:type="dxa"/>
            <w:shd w:val="clear" w:color="auto" w:fill="D4AF37"/>
            <w:tcMar>
              <w:top w:w="80" w:type="dxa"/>
              <w:left w:w="120" w:type="dxa"/>
              <w:bottom w:w="80" w:type="dxa"/>
              <w:right w:w="120" w:type="dxa"/>
            </w:tcMar>
            <w:vAlign w:val="center"/>
          </w:tcPr>
          <w:p w14:paraId="4B0AF72C" w14:textId="77777777" w:rsidR="00047E8A" w:rsidRDefault="00000000">
            <w:r>
              <w:rPr>
                <w:b/>
                <w:bCs/>
                <w:color w:val="FFFFFF"/>
                <w:sz w:val="20"/>
                <w:szCs w:val="20"/>
              </w:rPr>
              <w:t>Catalyst</w:t>
            </w:r>
          </w:p>
        </w:tc>
        <w:tc>
          <w:tcPr>
            <w:tcW w:w="1560" w:type="dxa"/>
            <w:shd w:val="clear" w:color="auto" w:fill="D4AF37"/>
            <w:tcMar>
              <w:top w:w="80" w:type="dxa"/>
              <w:left w:w="120" w:type="dxa"/>
              <w:bottom w:w="80" w:type="dxa"/>
              <w:right w:w="120" w:type="dxa"/>
            </w:tcMar>
            <w:vAlign w:val="center"/>
          </w:tcPr>
          <w:p w14:paraId="7EB923D4" w14:textId="77777777" w:rsidR="00047E8A" w:rsidRDefault="00000000">
            <w:r>
              <w:rPr>
                <w:b/>
                <w:bCs/>
                <w:color w:val="FFFFFF"/>
                <w:sz w:val="20"/>
                <w:szCs w:val="20"/>
              </w:rPr>
              <w:t>Timing</w:t>
            </w:r>
          </w:p>
        </w:tc>
        <w:tc>
          <w:tcPr>
            <w:tcW w:w="1560" w:type="dxa"/>
            <w:shd w:val="clear" w:color="auto" w:fill="D4AF37"/>
            <w:tcMar>
              <w:top w:w="80" w:type="dxa"/>
              <w:left w:w="120" w:type="dxa"/>
              <w:bottom w:w="80" w:type="dxa"/>
              <w:right w:w="120" w:type="dxa"/>
            </w:tcMar>
            <w:vAlign w:val="center"/>
          </w:tcPr>
          <w:p w14:paraId="1FA07BD8" w14:textId="77777777" w:rsidR="00047E8A" w:rsidRDefault="00000000">
            <w:r>
              <w:rPr>
                <w:b/>
                <w:bCs/>
                <w:color w:val="FFFFFF"/>
                <w:sz w:val="20"/>
                <w:szCs w:val="20"/>
              </w:rPr>
              <w:t>Impact</w:t>
            </w:r>
          </w:p>
        </w:tc>
        <w:tc>
          <w:tcPr>
            <w:tcW w:w="3120" w:type="dxa"/>
            <w:shd w:val="clear" w:color="auto" w:fill="D4AF37"/>
            <w:tcMar>
              <w:top w:w="80" w:type="dxa"/>
              <w:left w:w="120" w:type="dxa"/>
              <w:bottom w:w="80" w:type="dxa"/>
              <w:right w:w="120" w:type="dxa"/>
            </w:tcMar>
            <w:vAlign w:val="center"/>
          </w:tcPr>
          <w:p w14:paraId="6ABBE2A9" w14:textId="77777777" w:rsidR="00047E8A" w:rsidRDefault="00000000">
            <w:r>
              <w:rPr>
                <w:b/>
                <w:bCs/>
                <w:color w:val="FFFFFF"/>
                <w:sz w:val="20"/>
                <w:szCs w:val="20"/>
              </w:rPr>
              <w:t>Mechanism</w:t>
            </w:r>
          </w:p>
        </w:tc>
      </w:tr>
      <w:tr w:rsidR="00047E8A" w14:paraId="15214563" w14:textId="77777777" w:rsidTr="00604946">
        <w:tc>
          <w:tcPr>
            <w:tcW w:w="3120" w:type="dxa"/>
            <w:shd w:val="clear" w:color="auto" w:fill="FFFFFF"/>
            <w:tcMar>
              <w:top w:w="80" w:type="dxa"/>
              <w:left w:w="120" w:type="dxa"/>
              <w:bottom w:w="80" w:type="dxa"/>
              <w:right w:w="120" w:type="dxa"/>
            </w:tcMar>
            <w:vAlign w:val="center"/>
          </w:tcPr>
          <w:p w14:paraId="4705D7AE" w14:textId="77777777" w:rsidR="00047E8A" w:rsidRDefault="00000000">
            <w:r>
              <w:rPr>
                <w:b/>
                <w:bCs/>
                <w:color w:val="333333"/>
                <w:sz w:val="20"/>
                <w:szCs w:val="20"/>
              </w:rPr>
              <w:t>Fed Rate Cut (Jun/Sep)</w:t>
            </w:r>
          </w:p>
        </w:tc>
        <w:tc>
          <w:tcPr>
            <w:tcW w:w="1560" w:type="dxa"/>
            <w:shd w:val="clear" w:color="auto" w:fill="FFFFFF"/>
            <w:tcMar>
              <w:top w:w="80" w:type="dxa"/>
              <w:left w:w="120" w:type="dxa"/>
              <w:bottom w:w="80" w:type="dxa"/>
              <w:right w:w="120" w:type="dxa"/>
            </w:tcMar>
            <w:vAlign w:val="center"/>
          </w:tcPr>
          <w:p w14:paraId="46300B92" w14:textId="77777777" w:rsidR="00047E8A" w:rsidRDefault="00000000">
            <w:r>
              <w:rPr>
                <w:color w:val="333333"/>
                <w:sz w:val="20"/>
                <w:szCs w:val="20"/>
              </w:rPr>
              <w:t>Q2–Q3</w:t>
            </w:r>
          </w:p>
        </w:tc>
        <w:tc>
          <w:tcPr>
            <w:tcW w:w="1560" w:type="dxa"/>
            <w:shd w:val="clear" w:color="auto" w:fill="FFFFFF"/>
            <w:tcMar>
              <w:top w:w="80" w:type="dxa"/>
              <w:left w:w="120" w:type="dxa"/>
              <w:bottom w:w="80" w:type="dxa"/>
              <w:right w:w="120" w:type="dxa"/>
            </w:tcMar>
            <w:vAlign w:val="center"/>
          </w:tcPr>
          <w:p w14:paraId="3C38C651" w14:textId="77777777" w:rsidR="00047E8A" w:rsidRDefault="00000000">
            <w:r>
              <w:rPr>
                <w:color w:val="E74C3C"/>
                <w:sz w:val="20"/>
                <w:szCs w:val="20"/>
              </w:rPr>
              <w:t>CRITICAL</w:t>
            </w:r>
          </w:p>
        </w:tc>
        <w:tc>
          <w:tcPr>
            <w:tcW w:w="3120" w:type="dxa"/>
            <w:shd w:val="clear" w:color="auto" w:fill="FFFFFF"/>
            <w:tcMar>
              <w:top w:w="80" w:type="dxa"/>
              <w:left w:w="120" w:type="dxa"/>
              <w:bottom w:w="80" w:type="dxa"/>
              <w:right w:w="120" w:type="dxa"/>
            </w:tcMar>
            <w:vAlign w:val="center"/>
          </w:tcPr>
          <w:p w14:paraId="691CE8F1" w14:textId="77777777" w:rsidR="00047E8A" w:rsidRDefault="00000000">
            <w:r>
              <w:rPr>
                <w:color w:val="333333"/>
                <w:sz w:val="20"/>
                <w:szCs w:val="20"/>
              </w:rPr>
              <w:t>Lowers opportunity cost; weakens USD</w:t>
            </w:r>
          </w:p>
        </w:tc>
      </w:tr>
      <w:tr w:rsidR="00047E8A" w14:paraId="719DFD18" w14:textId="77777777" w:rsidTr="00604946">
        <w:tc>
          <w:tcPr>
            <w:tcW w:w="3120" w:type="dxa"/>
            <w:shd w:val="clear" w:color="auto" w:fill="F7F7F7"/>
            <w:tcMar>
              <w:top w:w="80" w:type="dxa"/>
              <w:left w:w="120" w:type="dxa"/>
              <w:bottom w:w="80" w:type="dxa"/>
              <w:right w:w="120" w:type="dxa"/>
            </w:tcMar>
            <w:vAlign w:val="center"/>
          </w:tcPr>
          <w:p w14:paraId="386FA6A8" w14:textId="77777777" w:rsidR="00047E8A" w:rsidRDefault="00000000">
            <w:r>
              <w:rPr>
                <w:b/>
                <w:bCs/>
                <w:color w:val="333333"/>
                <w:sz w:val="20"/>
                <w:szCs w:val="20"/>
              </w:rPr>
              <w:t>BRICS Unit Expansion</w:t>
            </w:r>
          </w:p>
        </w:tc>
        <w:tc>
          <w:tcPr>
            <w:tcW w:w="1560" w:type="dxa"/>
            <w:shd w:val="clear" w:color="auto" w:fill="F7F7F7"/>
            <w:tcMar>
              <w:top w:w="80" w:type="dxa"/>
              <w:left w:w="120" w:type="dxa"/>
              <w:bottom w:w="80" w:type="dxa"/>
              <w:right w:w="120" w:type="dxa"/>
            </w:tcMar>
            <w:vAlign w:val="center"/>
          </w:tcPr>
          <w:p w14:paraId="2E593DA5" w14:textId="77777777" w:rsidR="00047E8A" w:rsidRDefault="00000000">
            <w:r>
              <w:rPr>
                <w:color w:val="333333"/>
                <w:sz w:val="20"/>
                <w:szCs w:val="20"/>
              </w:rPr>
              <w:t>Q1–Q2</w:t>
            </w:r>
          </w:p>
        </w:tc>
        <w:tc>
          <w:tcPr>
            <w:tcW w:w="1560" w:type="dxa"/>
            <w:shd w:val="clear" w:color="auto" w:fill="F7F7F7"/>
            <w:tcMar>
              <w:top w:w="80" w:type="dxa"/>
              <w:left w:w="120" w:type="dxa"/>
              <w:bottom w:w="80" w:type="dxa"/>
              <w:right w:w="120" w:type="dxa"/>
            </w:tcMar>
            <w:vAlign w:val="center"/>
          </w:tcPr>
          <w:p w14:paraId="309EA8C7" w14:textId="77777777" w:rsidR="00047E8A" w:rsidRDefault="00000000">
            <w:r>
              <w:rPr>
                <w:color w:val="D4AF37"/>
                <w:sz w:val="20"/>
                <w:szCs w:val="20"/>
              </w:rPr>
              <w:t>HIGH</w:t>
            </w:r>
          </w:p>
        </w:tc>
        <w:tc>
          <w:tcPr>
            <w:tcW w:w="3120" w:type="dxa"/>
            <w:shd w:val="clear" w:color="auto" w:fill="F7F7F7"/>
            <w:tcMar>
              <w:top w:w="80" w:type="dxa"/>
              <w:left w:w="120" w:type="dxa"/>
              <w:bottom w:w="80" w:type="dxa"/>
              <w:right w:w="120" w:type="dxa"/>
            </w:tcMar>
            <w:vAlign w:val="center"/>
          </w:tcPr>
          <w:p w14:paraId="51BD98DB" w14:textId="77777777" w:rsidR="00047E8A" w:rsidRDefault="00000000">
            <w:r>
              <w:rPr>
                <w:color w:val="333333"/>
                <w:sz w:val="20"/>
                <w:szCs w:val="20"/>
              </w:rPr>
              <w:t>Permanent physical gold demand floor</w:t>
            </w:r>
          </w:p>
        </w:tc>
      </w:tr>
      <w:tr w:rsidR="00047E8A" w14:paraId="792A6E89" w14:textId="77777777" w:rsidTr="00604946">
        <w:tc>
          <w:tcPr>
            <w:tcW w:w="3120" w:type="dxa"/>
            <w:shd w:val="clear" w:color="auto" w:fill="FFFFFF"/>
            <w:tcMar>
              <w:top w:w="80" w:type="dxa"/>
              <w:left w:w="120" w:type="dxa"/>
              <w:bottom w:w="80" w:type="dxa"/>
              <w:right w:w="120" w:type="dxa"/>
            </w:tcMar>
            <w:vAlign w:val="center"/>
          </w:tcPr>
          <w:p w14:paraId="5503855E" w14:textId="77777777" w:rsidR="00047E8A" w:rsidRDefault="00000000">
            <w:r>
              <w:rPr>
                <w:b/>
                <w:bCs/>
                <w:color w:val="333333"/>
                <w:sz w:val="20"/>
                <w:szCs w:val="20"/>
              </w:rPr>
              <w:t>Central Bank Buying &gt;800t</w:t>
            </w:r>
          </w:p>
        </w:tc>
        <w:tc>
          <w:tcPr>
            <w:tcW w:w="1560" w:type="dxa"/>
            <w:shd w:val="clear" w:color="auto" w:fill="FFFFFF"/>
            <w:tcMar>
              <w:top w:w="80" w:type="dxa"/>
              <w:left w:w="120" w:type="dxa"/>
              <w:bottom w:w="80" w:type="dxa"/>
              <w:right w:w="120" w:type="dxa"/>
            </w:tcMar>
            <w:vAlign w:val="center"/>
          </w:tcPr>
          <w:p w14:paraId="03204689" w14:textId="77777777" w:rsidR="00047E8A" w:rsidRDefault="00000000">
            <w:r>
              <w:rPr>
                <w:color w:val="333333"/>
                <w:sz w:val="20"/>
                <w:szCs w:val="20"/>
              </w:rPr>
              <w:t>Ongoing</w:t>
            </w:r>
          </w:p>
        </w:tc>
        <w:tc>
          <w:tcPr>
            <w:tcW w:w="1560" w:type="dxa"/>
            <w:shd w:val="clear" w:color="auto" w:fill="FFFFFF"/>
            <w:tcMar>
              <w:top w:w="80" w:type="dxa"/>
              <w:left w:w="120" w:type="dxa"/>
              <w:bottom w:w="80" w:type="dxa"/>
              <w:right w:w="120" w:type="dxa"/>
            </w:tcMar>
            <w:vAlign w:val="center"/>
          </w:tcPr>
          <w:p w14:paraId="083EB204" w14:textId="77777777" w:rsidR="00047E8A" w:rsidRDefault="00000000">
            <w:r>
              <w:rPr>
                <w:color w:val="D4AF37"/>
                <w:sz w:val="20"/>
                <w:szCs w:val="20"/>
              </w:rPr>
              <w:t>HIGH</w:t>
            </w:r>
          </w:p>
        </w:tc>
        <w:tc>
          <w:tcPr>
            <w:tcW w:w="3120" w:type="dxa"/>
            <w:shd w:val="clear" w:color="auto" w:fill="FFFFFF"/>
            <w:tcMar>
              <w:top w:w="80" w:type="dxa"/>
              <w:left w:w="120" w:type="dxa"/>
              <w:bottom w:w="80" w:type="dxa"/>
              <w:right w:w="120" w:type="dxa"/>
            </w:tcMar>
            <w:vAlign w:val="center"/>
          </w:tcPr>
          <w:p w14:paraId="683FF86D" w14:textId="77777777" w:rsidR="00047E8A" w:rsidRDefault="00000000">
            <w:r>
              <w:rPr>
                <w:color w:val="333333"/>
                <w:sz w:val="20"/>
                <w:szCs w:val="20"/>
              </w:rPr>
              <w:t>Structural bid; price-insensitive demand</w:t>
            </w:r>
          </w:p>
        </w:tc>
      </w:tr>
      <w:tr w:rsidR="00047E8A" w14:paraId="575AF57D" w14:textId="77777777" w:rsidTr="00604946">
        <w:tc>
          <w:tcPr>
            <w:tcW w:w="3120" w:type="dxa"/>
            <w:shd w:val="clear" w:color="auto" w:fill="F7F7F7"/>
            <w:tcMar>
              <w:top w:w="80" w:type="dxa"/>
              <w:left w:w="120" w:type="dxa"/>
              <w:bottom w:w="80" w:type="dxa"/>
              <w:right w:w="120" w:type="dxa"/>
            </w:tcMar>
            <w:vAlign w:val="center"/>
          </w:tcPr>
          <w:p w14:paraId="6BDF85D6" w14:textId="77777777" w:rsidR="00047E8A" w:rsidRDefault="00000000">
            <w:r>
              <w:rPr>
                <w:b/>
                <w:bCs/>
                <w:color w:val="333333"/>
                <w:sz w:val="20"/>
                <w:szCs w:val="20"/>
              </w:rPr>
              <w:t>US Recession Signal</w:t>
            </w:r>
          </w:p>
        </w:tc>
        <w:tc>
          <w:tcPr>
            <w:tcW w:w="1560" w:type="dxa"/>
            <w:shd w:val="clear" w:color="auto" w:fill="F7F7F7"/>
            <w:tcMar>
              <w:top w:w="80" w:type="dxa"/>
              <w:left w:w="120" w:type="dxa"/>
              <w:bottom w:w="80" w:type="dxa"/>
              <w:right w:w="120" w:type="dxa"/>
            </w:tcMar>
            <w:vAlign w:val="center"/>
          </w:tcPr>
          <w:p w14:paraId="791E5D8C" w14:textId="77777777" w:rsidR="00047E8A" w:rsidRDefault="00000000">
            <w:r>
              <w:rPr>
                <w:color w:val="333333"/>
                <w:sz w:val="20"/>
                <w:szCs w:val="20"/>
              </w:rPr>
              <w:t>H2 2026</w:t>
            </w:r>
          </w:p>
        </w:tc>
        <w:tc>
          <w:tcPr>
            <w:tcW w:w="1560" w:type="dxa"/>
            <w:shd w:val="clear" w:color="auto" w:fill="F7F7F7"/>
            <w:tcMar>
              <w:top w:w="80" w:type="dxa"/>
              <w:left w:w="120" w:type="dxa"/>
              <w:bottom w:w="80" w:type="dxa"/>
              <w:right w:w="120" w:type="dxa"/>
            </w:tcMar>
            <w:vAlign w:val="center"/>
          </w:tcPr>
          <w:p w14:paraId="1CF7B8FA" w14:textId="77777777" w:rsidR="00047E8A" w:rsidRDefault="00000000">
            <w:r>
              <w:rPr>
                <w:color w:val="E74C3C"/>
                <w:sz w:val="20"/>
                <w:szCs w:val="20"/>
              </w:rPr>
              <w:t>CRITICAL</w:t>
            </w:r>
          </w:p>
        </w:tc>
        <w:tc>
          <w:tcPr>
            <w:tcW w:w="3120" w:type="dxa"/>
            <w:shd w:val="clear" w:color="auto" w:fill="F7F7F7"/>
            <w:tcMar>
              <w:top w:w="80" w:type="dxa"/>
              <w:left w:w="120" w:type="dxa"/>
              <w:bottom w:w="80" w:type="dxa"/>
              <w:right w:w="120" w:type="dxa"/>
            </w:tcMar>
            <w:vAlign w:val="center"/>
          </w:tcPr>
          <w:p w14:paraId="667FFEB3" w14:textId="77777777" w:rsidR="00047E8A" w:rsidRDefault="00000000">
            <w:r>
              <w:rPr>
                <w:color w:val="333333"/>
                <w:sz w:val="20"/>
                <w:szCs w:val="20"/>
              </w:rPr>
              <w:t>Aggressive Fed cuts; safe-haven flows</w:t>
            </w:r>
          </w:p>
        </w:tc>
      </w:tr>
      <w:tr w:rsidR="00047E8A" w14:paraId="5DC8FA41" w14:textId="77777777" w:rsidTr="00604946">
        <w:tc>
          <w:tcPr>
            <w:tcW w:w="3120" w:type="dxa"/>
            <w:shd w:val="clear" w:color="auto" w:fill="FFFFFF"/>
            <w:tcMar>
              <w:top w:w="80" w:type="dxa"/>
              <w:left w:w="120" w:type="dxa"/>
              <w:bottom w:w="80" w:type="dxa"/>
              <w:right w:w="120" w:type="dxa"/>
            </w:tcMar>
            <w:vAlign w:val="center"/>
          </w:tcPr>
          <w:p w14:paraId="57889BCB" w14:textId="77777777" w:rsidR="00047E8A" w:rsidRDefault="00000000">
            <w:r>
              <w:rPr>
                <w:b/>
                <w:bCs/>
                <w:color w:val="333333"/>
                <w:sz w:val="20"/>
                <w:szCs w:val="20"/>
              </w:rPr>
              <w:t xml:space="preserve">AI </w:t>
            </w:r>
            <w:proofErr w:type="spellStart"/>
            <w:r>
              <w:rPr>
                <w:b/>
                <w:bCs/>
                <w:color w:val="333333"/>
                <w:sz w:val="20"/>
                <w:szCs w:val="20"/>
              </w:rPr>
              <w:t>CapEx</w:t>
            </w:r>
            <w:proofErr w:type="spellEnd"/>
            <w:r>
              <w:rPr>
                <w:b/>
                <w:bCs/>
                <w:color w:val="333333"/>
                <w:sz w:val="20"/>
                <w:szCs w:val="20"/>
              </w:rPr>
              <w:t xml:space="preserve"> Rotation to Hedges</w:t>
            </w:r>
          </w:p>
        </w:tc>
        <w:tc>
          <w:tcPr>
            <w:tcW w:w="1560" w:type="dxa"/>
            <w:shd w:val="clear" w:color="auto" w:fill="FFFFFF"/>
            <w:tcMar>
              <w:top w:w="80" w:type="dxa"/>
              <w:left w:w="120" w:type="dxa"/>
              <w:bottom w:w="80" w:type="dxa"/>
              <w:right w:w="120" w:type="dxa"/>
            </w:tcMar>
            <w:vAlign w:val="center"/>
          </w:tcPr>
          <w:p w14:paraId="2ECD9D5A" w14:textId="77777777" w:rsidR="00047E8A" w:rsidRDefault="00000000">
            <w:r>
              <w:rPr>
                <w:color w:val="333333"/>
                <w:sz w:val="20"/>
                <w:szCs w:val="20"/>
              </w:rPr>
              <w:t>Q2–Q3</w:t>
            </w:r>
          </w:p>
        </w:tc>
        <w:tc>
          <w:tcPr>
            <w:tcW w:w="1560" w:type="dxa"/>
            <w:shd w:val="clear" w:color="auto" w:fill="FFFFFF"/>
            <w:tcMar>
              <w:top w:w="80" w:type="dxa"/>
              <w:left w:w="120" w:type="dxa"/>
              <w:bottom w:w="80" w:type="dxa"/>
              <w:right w:w="120" w:type="dxa"/>
            </w:tcMar>
            <w:vAlign w:val="center"/>
          </w:tcPr>
          <w:p w14:paraId="211A6109" w14:textId="77777777" w:rsidR="00047E8A" w:rsidRDefault="00000000">
            <w:r>
              <w:rPr>
                <w:color w:val="3498DB"/>
                <w:sz w:val="20"/>
                <w:szCs w:val="20"/>
              </w:rPr>
              <w:t>MEDIUM</w:t>
            </w:r>
          </w:p>
        </w:tc>
        <w:tc>
          <w:tcPr>
            <w:tcW w:w="3120" w:type="dxa"/>
            <w:shd w:val="clear" w:color="auto" w:fill="FFFFFF"/>
            <w:tcMar>
              <w:top w:w="80" w:type="dxa"/>
              <w:left w:w="120" w:type="dxa"/>
              <w:bottom w:w="80" w:type="dxa"/>
              <w:right w:w="120" w:type="dxa"/>
            </w:tcMar>
            <w:vAlign w:val="center"/>
          </w:tcPr>
          <w:p w14:paraId="0C0959DC" w14:textId="77777777" w:rsidR="00047E8A" w:rsidRDefault="00000000">
            <w:r>
              <w:rPr>
                <w:color w:val="333333"/>
                <w:sz w:val="20"/>
                <w:szCs w:val="20"/>
              </w:rPr>
              <w:t>Tech selloff redirects capital to gold</w:t>
            </w:r>
          </w:p>
        </w:tc>
      </w:tr>
      <w:tr w:rsidR="00047E8A" w14:paraId="4AC14567" w14:textId="77777777" w:rsidTr="00604946">
        <w:tc>
          <w:tcPr>
            <w:tcW w:w="3120" w:type="dxa"/>
            <w:shd w:val="clear" w:color="auto" w:fill="F7F7F7"/>
            <w:tcMar>
              <w:top w:w="80" w:type="dxa"/>
              <w:left w:w="120" w:type="dxa"/>
              <w:bottom w:w="80" w:type="dxa"/>
              <w:right w:w="120" w:type="dxa"/>
            </w:tcMar>
            <w:vAlign w:val="center"/>
          </w:tcPr>
          <w:p w14:paraId="02356556" w14:textId="77777777" w:rsidR="00047E8A" w:rsidRDefault="00000000">
            <w:r>
              <w:rPr>
                <w:b/>
                <w:bCs/>
                <w:color w:val="333333"/>
                <w:sz w:val="20"/>
                <w:szCs w:val="20"/>
              </w:rPr>
              <w:t>Greenland/NATO Friction</w:t>
            </w:r>
          </w:p>
        </w:tc>
        <w:tc>
          <w:tcPr>
            <w:tcW w:w="1560" w:type="dxa"/>
            <w:shd w:val="clear" w:color="auto" w:fill="F7F7F7"/>
            <w:tcMar>
              <w:top w:w="80" w:type="dxa"/>
              <w:left w:w="120" w:type="dxa"/>
              <w:bottom w:w="80" w:type="dxa"/>
              <w:right w:w="120" w:type="dxa"/>
            </w:tcMar>
            <w:vAlign w:val="center"/>
          </w:tcPr>
          <w:p w14:paraId="557D3FED" w14:textId="77777777" w:rsidR="00047E8A" w:rsidRDefault="00000000">
            <w:r>
              <w:rPr>
                <w:color w:val="333333"/>
                <w:sz w:val="20"/>
                <w:szCs w:val="20"/>
              </w:rPr>
              <w:t>Q1–Q2</w:t>
            </w:r>
          </w:p>
        </w:tc>
        <w:tc>
          <w:tcPr>
            <w:tcW w:w="1560" w:type="dxa"/>
            <w:shd w:val="clear" w:color="auto" w:fill="F7F7F7"/>
            <w:tcMar>
              <w:top w:w="80" w:type="dxa"/>
              <w:left w:w="120" w:type="dxa"/>
              <w:bottom w:w="80" w:type="dxa"/>
              <w:right w:w="120" w:type="dxa"/>
            </w:tcMar>
            <w:vAlign w:val="center"/>
          </w:tcPr>
          <w:p w14:paraId="410A3CF8" w14:textId="77777777" w:rsidR="00047E8A" w:rsidRDefault="00000000">
            <w:r>
              <w:rPr>
                <w:color w:val="3498DB"/>
                <w:sz w:val="20"/>
                <w:szCs w:val="20"/>
              </w:rPr>
              <w:t>MEDIUM</w:t>
            </w:r>
          </w:p>
        </w:tc>
        <w:tc>
          <w:tcPr>
            <w:tcW w:w="3120" w:type="dxa"/>
            <w:shd w:val="clear" w:color="auto" w:fill="F7F7F7"/>
            <w:tcMar>
              <w:top w:w="80" w:type="dxa"/>
              <w:left w:w="120" w:type="dxa"/>
              <w:bottom w:w="80" w:type="dxa"/>
              <w:right w:w="120" w:type="dxa"/>
            </w:tcMar>
            <w:vAlign w:val="center"/>
          </w:tcPr>
          <w:p w14:paraId="40D1C6B8" w14:textId="77777777" w:rsidR="00047E8A" w:rsidRDefault="00000000">
            <w:r>
              <w:rPr>
                <w:color w:val="333333"/>
                <w:sz w:val="20"/>
                <w:szCs w:val="20"/>
              </w:rPr>
              <w:t>Erodes ‘risk-free’ status of Treasuries</w:t>
            </w:r>
          </w:p>
        </w:tc>
      </w:tr>
      <w:tr w:rsidR="00047E8A" w14:paraId="3FBB9D7A" w14:textId="77777777" w:rsidTr="00604946">
        <w:tc>
          <w:tcPr>
            <w:tcW w:w="3120" w:type="dxa"/>
            <w:shd w:val="clear" w:color="auto" w:fill="FFFFFF"/>
            <w:tcMar>
              <w:top w:w="80" w:type="dxa"/>
              <w:left w:w="120" w:type="dxa"/>
              <w:bottom w:w="80" w:type="dxa"/>
              <w:right w:w="120" w:type="dxa"/>
            </w:tcMar>
            <w:vAlign w:val="center"/>
          </w:tcPr>
          <w:p w14:paraId="739061F9" w14:textId="77777777" w:rsidR="00047E8A" w:rsidRDefault="00000000">
            <w:r>
              <w:rPr>
                <w:b/>
                <w:bCs/>
                <w:color w:val="333333"/>
                <w:sz w:val="20"/>
                <w:szCs w:val="20"/>
              </w:rPr>
              <w:t>Fed Independence Concerns</w:t>
            </w:r>
          </w:p>
        </w:tc>
        <w:tc>
          <w:tcPr>
            <w:tcW w:w="1560" w:type="dxa"/>
            <w:shd w:val="clear" w:color="auto" w:fill="FFFFFF"/>
            <w:tcMar>
              <w:top w:w="80" w:type="dxa"/>
              <w:left w:w="120" w:type="dxa"/>
              <w:bottom w:w="80" w:type="dxa"/>
              <w:right w:w="120" w:type="dxa"/>
            </w:tcMar>
            <w:vAlign w:val="center"/>
          </w:tcPr>
          <w:p w14:paraId="050B7A55" w14:textId="77777777" w:rsidR="00047E8A" w:rsidRDefault="00000000">
            <w:r>
              <w:rPr>
                <w:color w:val="333333"/>
                <w:sz w:val="20"/>
                <w:szCs w:val="20"/>
              </w:rPr>
              <w:t>Ongoing</w:t>
            </w:r>
          </w:p>
        </w:tc>
        <w:tc>
          <w:tcPr>
            <w:tcW w:w="1560" w:type="dxa"/>
            <w:shd w:val="clear" w:color="auto" w:fill="FFFFFF"/>
            <w:tcMar>
              <w:top w:w="80" w:type="dxa"/>
              <w:left w:w="120" w:type="dxa"/>
              <w:bottom w:w="80" w:type="dxa"/>
              <w:right w:w="120" w:type="dxa"/>
            </w:tcMar>
            <w:vAlign w:val="center"/>
          </w:tcPr>
          <w:p w14:paraId="2460BF82" w14:textId="77777777" w:rsidR="00047E8A" w:rsidRDefault="00000000">
            <w:r>
              <w:rPr>
                <w:color w:val="D4AF37"/>
                <w:sz w:val="20"/>
                <w:szCs w:val="20"/>
              </w:rPr>
              <w:t>HIGH</w:t>
            </w:r>
          </w:p>
        </w:tc>
        <w:tc>
          <w:tcPr>
            <w:tcW w:w="3120" w:type="dxa"/>
            <w:shd w:val="clear" w:color="auto" w:fill="FFFFFF"/>
            <w:tcMar>
              <w:top w:w="80" w:type="dxa"/>
              <w:left w:w="120" w:type="dxa"/>
              <w:bottom w:w="80" w:type="dxa"/>
              <w:right w:w="120" w:type="dxa"/>
            </w:tcMar>
            <w:vAlign w:val="center"/>
          </w:tcPr>
          <w:p w14:paraId="2E9FB3A5" w14:textId="77777777" w:rsidR="00047E8A" w:rsidRDefault="00000000">
            <w:r>
              <w:rPr>
                <w:color w:val="333333"/>
                <w:sz w:val="20"/>
                <w:szCs w:val="20"/>
              </w:rPr>
              <w:t>Adds $500–$800 ‘inflation regime’ premium</w:t>
            </w:r>
          </w:p>
        </w:tc>
      </w:tr>
    </w:tbl>
    <w:p w14:paraId="1B9537AD" w14:textId="77777777" w:rsidR="00047E8A" w:rsidRDefault="00000000">
      <w:r>
        <w:br w:type="page"/>
      </w:r>
    </w:p>
    <w:p w14:paraId="46859FF8" w14:textId="77777777" w:rsidR="00047E8A" w:rsidRDefault="00000000">
      <w:pPr>
        <w:pStyle w:val="Heading1"/>
        <w:spacing w:after="120"/>
      </w:pPr>
      <w:r>
        <w:lastRenderedPageBreak/>
        <w:t>VIII. RISK ASSESSMENT</w:t>
      </w:r>
    </w:p>
    <w:p w14:paraId="0F56C8CF" w14:textId="77777777" w:rsidR="00047E8A" w:rsidRDefault="00000000">
      <w:pPr>
        <w:pStyle w:val="Heading2"/>
        <w:spacing w:after="120"/>
      </w:pPr>
      <w:r>
        <w:rPr>
          <w:color w:val="333333"/>
        </w:rPr>
        <w:t>Value Trap Check</w:t>
      </w:r>
    </w:p>
    <w:p w14:paraId="0F626D44" w14:textId="77777777" w:rsidR="00047E8A" w:rsidRDefault="00000000">
      <w:pPr>
        <w:spacing w:after="160"/>
      </w:pPr>
      <w:r>
        <w:rPr>
          <w:b/>
          <w:bCs/>
          <w:color w:val="27AE60"/>
        </w:rPr>
        <w:t xml:space="preserve">Verdict: Definitively not a value trap. </w:t>
      </w:r>
      <w:r>
        <w:rPr>
          <w:color w:val="333333"/>
        </w:rPr>
        <w:t>Gold established 53 new all-time highs in 2025. Investment demand surged 84%. Central bank buying remains at historically elevated levels. The total value of global gold demand reached a record $555 billion. This is a structural bull market, not dead money.</w:t>
      </w:r>
    </w:p>
    <w:p w14:paraId="4E0688CB" w14:textId="77777777" w:rsidR="00047E8A" w:rsidRDefault="00000000">
      <w:pPr>
        <w:pStyle w:val="Heading2"/>
        <w:spacing w:after="120"/>
      </w:pPr>
      <w:r>
        <w:rPr>
          <w:color w:val="333333"/>
        </w:rPr>
        <w:t>Hype Check</w:t>
      </w:r>
    </w:p>
    <w:p w14:paraId="6BBAAB56" w14:textId="77777777" w:rsidR="00047E8A" w:rsidRDefault="00000000">
      <w:pPr>
        <w:spacing w:after="160"/>
      </w:pPr>
      <w:r>
        <w:rPr>
          <w:color w:val="333333"/>
        </w:rPr>
        <w:t>Gold’s thesis is grounded in tangible, measurable dynamics: central bank reserve accumulation (863 tonnes in 2025), money supply expansion ($22.4 trillion M2), and supply constraints (mine production growth below 1% annually). If every ‘speculative’ buyer exited tomorrow, the structural central bank bid alone would support prices well above $4,000. This distinguishes gold from narrative-driven assets.</w:t>
      </w:r>
    </w:p>
    <w:p w14:paraId="734BE90A" w14:textId="77777777" w:rsidR="00047E8A" w:rsidRDefault="00000000">
      <w:pPr>
        <w:pStyle w:val="Heading2"/>
        <w:spacing w:after="120"/>
      </w:pPr>
      <w:r>
        <w:rPr>
          <w:color w:val="333333"/>
        </w:rPr>
        <w:t>Bear Case Risks</w:t>
      </w:r>
    </w:p>
    <w:p w14:paraId="42382CED" w14:textId="77777777" w:rsidR="00047E8A" w:rsidRDefault="00000000">
      <w:pPr>
        <w:spacing w:after="160"/>
      </w:pPr>
      <w:r>
        <w:rPr>
          <w:b/>
          <w:bCs/>
          <w:color w:val="333333"/>
        </w:rPr>
        <w:t xml:space="preserve">Rapid Geopolitical Détente: </w:t>
      </w:r>
      <w:r>
        <w:rPr>
          <w:color w:val="333333"/>
        </w:rPr>
        <w:t>If US–Iran nuclear talks, Greenland friction, and BRICS tensions all resolve simultaneously, safe-haven demand could evaporate. We assign this a low probability (15%) given the structural nature of de-dollarisation trends.</w:t>
      </w:r>
    </w:p>
    <w:p w14:paraId="00206987" w14:textId="77777777" w:rsidR="00047E8A" w:rsidRDefault="00000000">
      <w:pPr>
        <w:spacing w:after="160"/>
      </w:pPr>
      <w:r>
        <w:rPr>
          <w:b/>
          <w:bCs/>
          <w:color w:val="333333"/>
        </w:rPr>
        <w:t xml:space="preserve">Aggressive Fed Tightening: </w:t>
      </w:r>
      <w:r>
        <w:rPr>
          <w:color w:val="333333"/>
        </w:rPr>
        <w:t>If inflation re-accelerates and the Fed is forced into aggressive rate hikes, the opportunity cost of holding gold rises. However, the appointment of Kevin Warsh as Fed Chair may signal a more accommodative posture. Mixed probability (25%).</w:t>
      </w:r>
    </w:p>
    <w:p w14:paraId="767D02F5" w14:textId="77777777" w:rsidR="00047E8A" w:rsidRDefault="00000000">
      <w:pPr>
        <w:spacing w:after="160"/>
      </w:pPr>
      <w:r>
        <w:rPr>
          <w:b/>
          <w:bCs/>
          <w:color w:val="333333"/>
        </w:rPr>
        <w:t xml:space="preserve">Speculative Unwind / Margin Calls: </w:t>
      </w:r>
      <w:r>
        <w:rPr>
          <w:color w:val="333333"/>
        </w:rPr>
        <w:t>CME record trading volumes (3.3 million contracts on January 26) and reduced market depth mean gold is vulnerable to sharp, short-term drawdowns. The late-January correction of 21% ($5,595 to ~$4,400) demonstrated this fragility. However, each dip has been met with aggressive dip-buying, suggesting the structural bid is robust.</w:t>
      </w:r>
    </w:p>
    <w:p w14:paraId="34E76392" w14:textId="77777777" w:rsidR="00047E8A" w:rsidRDefault="00000000">
      <w:r>
        <w:br w:type="page"/>
      </w:r>
    </w:p>
    <w:p w14:paraId="2BE3B5C7" w14:textId="77777777" w:rsidR="00047E8A" w:rsidRDefault="00000000">
      <w:pPr>
        <w:pStyle w:val="Heading1"/>
        <w:spacing w:after="120"/>
      </w:pPr>
      <w:r>
        <w:lastRenderedPageBreak/>
        <w:t>IX. PRICE TARGETS, ENTRY POINTS &amp; STRATEGIC VIEW</w:t>
      </w:r>
    </w:p>
    <w:p w14:paraId="59C14FAF" w14:textId="77777777" w:rsidR="00047E8A" w:rsidRDefault="00000000">
      <w:pPr>
        <w:pStyle w:val="Heading2"/>
        <w:spacing w:after="120"/>
      </w:pPr>
      <w:r>
        <w:rPr>
          <w:color w:val="333333"/>
        </w:rPr>
        <w:t>The Solo Strategist Scenarios</w:t>
      </w:r>
    </w:p>
    <w:tbl>
      <w:tblPr>
        <w:tblW w:w="9360" w:type="dxa"/>
        <w:tblCellMar>
          <w:left w:w="10" w:type="dxa"/>
          <w:right w:w="10" w:type="dxa"/>
        </w:tblCellMar>
        <w:tblLook w:val="04A0" w:firstRow="1" w:lastRow="0" w:firstColumn="1" w:lastColumn="0" w:noHBand="0" w:noVBand="1"/>
      </w:tblPr>
      <w:tblGrid>
        <w:gridCol w:w="1872"/>
        <w:gridCol w:w="1872"/>
        <w:gridCol w:w="1872"/>
        <w:gridCol w:w="3744"/>
      </w:tblGrid>
      <w:tr w:rsidR="00047E8A" w14:paraId="2BB23F40" w14:textId="77777777" w:rsidTr="00604946">
        <w:tc>
          <w:tcPr>
            <w:tcW w:w="1872" w:type="dxa"/>
            <w:shd w:val="clear" w:color="auto" w:fill="D4AF37"/>
            <w:tcMar>
              <w:top w:w="80" w:type="dxa"/>
              <w:left w:w="120" w:type="dxa"/>
              <w:bottom w:w="80" w:type="dxa"/>
              <w:right w:w="120" w:type="dxa"/>
            </w:tcMar>
            <w:vAlign w:val="center"/>
          </w:tcPr>
          <w:p w14:paraId="681AD5D9" w14:textId="77777777" w:rsidR="00047E8A" w:rsidRDefault="00000000">
            <w:r>
              <w:rPr>
                <w:b/>
                <w:bCs/>
                <w:color w:val="FFFFFF"/>
                <w:sz w:val="20"/>
                <w:szCs w:val="20"/>
              </w:rPr>
              <w:t>Scenario</w:t>
            </w:r>
          </w:p>
        </w:tc>
        <w:tc>
          <w:tcPr>
            <w:tcW w:w="1872" w:type="dxa"/>
            <w:shd w:val="clear" w:color="auto" w:fill="D4AF37"/>
            <w:tcMar>
              <w:top w:w="80" w:type="dxa"/>
              <w:left w:w="120" w:type="dxa"/>
              <w:bottom w:w="80" w:type="dxa"/>
              <w:right w:w="120" w:type="dxa"/>
            </w:tcMar>
            <w:vAlign w:val="center"/>
          </w:tcPr>
          <w:p w14:paraId="688AC789" w14:textId="77777777" w:rsidR="00047E8A" w:rsidRDefault="00000000">
            <w:r>
              <w:rPr>
                <w:b/>
                <w:bCs/>
                <w:color w:val="FFFFFF"/>
                <w:sz w:val="20"/>
                <w:szCs w:val="20"/>
              </w:rPr>
              <w:t>Year-End Target</w:t>
            </w:r>
          </w:p>
        </w:tc>
        <w:tc>
          <w:tcPr>
            <w:tcW w:w="1872" w:type="dxa"/>
            <w:shd w:val="clear" w:color="auto" w:fill="D4AF37"/>
            <w:tcMar>
              <w:top w:w="80" w:type="dxa"/>
              <w:left w:w="120" w:type="dxa"/>
              <w:bottom w:w="80" w:type="dxa"/>
              <w:right w:w="120" w:type="dxa"/>
            </w:tcMar>
            <w:vAlign w:val="center"/>
          </w:tcPr>
          <w:p w14:paraId="2F15CD94" w14:textId="77777777" w:rsidR="00047E8A" w:rsidRDefault="00000000">
            <w:r>
              <w:rPr>
                <w:b/>
                <w:bCs/>
                <w:color w:val="FFFFFF"/>
                <w:sz w:val="20"/>
                <w:szCs w:val="20"/>
              </w:rPr>
              <w:t>Probability</w:t>
            </w:r>
          </w:p>
        </w:tc>
        <w:tc>
          <w:tcPr>
            <w:tcW w:w="3744" w:type="dxa"/>
            <w:shd w:val="clear" w:color="auto" w:fill="D4AF37"/>
            <w:tcMar>
              <w:top w:w="80" w:type="dxa"/>
              <w:left w:w="120" w:type="dxa"/>
              <w:bottom w:w="80" w:type="dxa"/>
              <w:right w:w="120" w:type="dxa"/>
            </w:tcMar>
            <w:vAlign w:val="center"/>
          </w:tcPr>
          <w:p w14:paraId="727C7570" w14:textId="77777777" w:rsidR="00047E8A" w:rsidRDefault="00000000">
            <w:r>
              <w:rPr>
                <w:b/>
                <w:bCs/>
                <w:color w:val="FFFFFF"/>
                <w:sz w:val="20"/>
                <w:szCs w:val="20"/>
              </w:rPr>
              <w:t>Key Assumption</w:t>
            </w:r>
          </w:p>
        </w:tc>
      </w:tr>
      <w:tr w:rsidR="00047E8A" w14:paraId="3A8D87BD" w14:textId="77777777" w:rsidTr="00604946">
        <w:tc>
          <w:tcPr>
            <w:tcW w:w="1872" w:type="dxa"/>
            <w:shd w:val="clear" w:color="auto" w:fill="FFFFFF"/>
            <w:tcMar>
              <w:top w:w="80" w:type="dxa"/>
              <w:left w:w="120" w:type="dxa"/>
              <w:bottom w:w="80" w:type="dxa"/>
              <w:right w:w="120" w:type="dxa"/>
            </w:tcMar>
            <w:vAlign w:val="center"/>
          </w:tcPr>
          <w:p w14:paraId="703153F0" w14:textId="77777777" w:rsidR="00047E8A" w:rsidRDefault="00000000">
            <w:r>
              <w:rPr>
                <w:b/>
                <w:bCs/>
                <w:color w:val="333333"/>
                <w:sz w:val="20"/>
                <w:szCs w:val="20"/>
              </w:rPr>
              <w:t>Bull Case</w:t>
            </w:r>
          </w:p>
        </w:tc>
        <w:tc>
          <w:tcPr>
            <w:tcW w:w="1872" w:type="dxa"/>
            <w:shd w:val="clear" w:color="auto" w:fill="FFFFFF"/>
            <w:tcMar>
              <w:top w:w="80" w:type="dxa"/>
              <w:left w:w="120" w:type="dxa"/>
              <w:bottom w:w="80" w:type="dxa"/>
              <w:right w:w="120" w:type="dxa"/>
            </w:tcMar>
            <w:vAlign w:val="center"/>
          </w:tcPr>
          <w:p w14:paraId="2F6E084A" w14:textId="77777777" w:rsidR="00047E8A" w:rsidRDefault="00000000">
            <w:r>
              <w:rPr>
                <w:color w:val="27AE60"/>
                <w:sz w:val="20"/>
                <w:szCs w:val="20"/>
              </w:rPr>
              <w:t>$6,800–$7,200</w:t>
            </w:r>
          </w:p>
        </w:tc>
        <w:tc>
          <w:tcPr>
            <w:tcW w:w="1872" w:type="dxa"/>
            <w:shd w:val="clear" w:color="auto" w:fill="FFFFFF"/>
            <w:tcMar>
              <w:top w:w="80" w:type="dxa"/>
              <w:left w:w="120" w:type="dxa"/>
              <w:bottom w:w="80" w:type="dxa"/>
              <w:right w:w="120" w:type="dxa"/>
            </w:tcMar>
            <w:vAlign w:val="center"/>
          </w:tcPr>
          <w:p w14:paraId="2B40BA27" w14:textId="77777777" w:rsidR="00047E8A" w:rsidRDefault="00000000">
            <w:r>
              <w:rPr>
                <w:color w:val="333333"/>
                <w:sz w:val="20"/>
                <w:szCs w:val="20"/>
              </w:rPr>
              <w:t>30%</w:t>
            </w:r>
          </w:p>
        </w:tc>
        <w:tc>
          <w:tcPr>
            <w:tcW w:w="3744" w:type="dxa"/>
            <w:shd w:val="clear" w:color="auto" w:fill="FFFFFF"/>
            <w:tcMar>
              <w:top w:w="80" w:type="dxa"/>
              <w:left w:w="120" w:type="dxa"/>
              <w:bottom w:w="80" w:type="dxa"/>
              <w:right w:w="120" w:type="dxa"/>
            </w:tcMar>
            <w:vAlign w:val="center"/>
          </w:tcPr>
          <w:p w14:paraId="6D3237A4" w14:textId="77777777" w:rsidR="00047E8A" w:rsidRDefault="00000000">
            <w:r>
              <w:rPr>
                <w:color w:val="333333"/>
                <w:sz w:val="20"/>
                <w:szCs w:val="20"/>
              </w:rPr>
              <w:t>Recession + aggressive rate cuts + BRICS acceleration + supply deficit</w:t>
            </w:r>
          </w:p>
        </w:tc>
      </w:tr>
      <w:tr w:rsidR="00047E8A" w14:paraId="4C484A53" w14:textId="77777777" w:rsidTr="00604946">
        <w:tc>
          <w:tcPr>
            <w:tcW w:w="1872" w:type="dxa"/>
            <w:shd w:val="clear" w:color="auto" w:fill="F7F7F7"/>
            <w:tcMar>
              <w:top w:w="80" w:type="dxa"/>
              <w:left w:w="120" w:type="dxa"/>
              <w:bottom w:w="80" w:type="dxa"/>
              <w:right w:w="120" w:type="dxa"/>
            </w:tcMar>
            <w:vAlign w:val="center"/>
          </w:tcPr>
          <w:p w14:paraId="629D2C8F" w14:textId="77777777" w:rsidR="00047E8A" w:rsidRDefault="00000000">
            <w:r>
              <w:rPr>
                <w:b/>
                <w:bCs/>
                <w:color w:val="333333"/>
                <w:sz w:val="20"/>
                <w:szCs w:val="20"/>
              </w:rPr>
              <w:t>Base Case</w:t>
            </w:r>
          </w:p>
        </w:tc>
        <w:tc>
          <w:tcPr>
            <w:tcW w:w="1872" w:type="dxa"/>
            <w:shd w:val="clear" w:color="auto" w:fill="F7F7F7"/>
            <w:tcMar>
              <w:top w:w="80" w:type="dxa"/>
              <w:left w:w="120" w:type="dxa"/>
              <w:bottom w:w="80" w:type="dxa"/>
              <w:right w:w="120" w:type="dxa"/>
            </w:tcMar>
            <w:vAlign w:val="center"/>
          </w:tcPr>
          <w:p w14:paraId="42C34E0E" w14:textId="77777777" w:rsidR="00047E8A" w:rsidRDefault="00000000">
            <w:r>
              <w:rPr>
                <w:color w:val="D4AF37"/>
                <w:sz w:val="20"/>
                <w:szCs w:val="20"/>
              </w:rPr>
              <w:t>$6,100</w:t>
            </w:r>
          </w:p>
        </w:tc>
        <w:tc>
          <w:tcPr>
            <w:tcW w:w="1872" w:type="dxa"/>
            <w:shd w:val="clear" w:color="auto" w:fill="F7F7F7"/>
            <w:tcMar>
              <w:top w:w="80" w:type="dxa"/>
              <w:left w:w="120" w:type="dxa"/>
              <w:bottom w:w="80" w:type="dxa"/>
              <w:right w:w="120" w:type="dxa"/>
            </w:tcMar>
            <w:vAlign w:val="center"/>
          </w:tcPr>
          <w:p w14:paraId="59963C56" w14:textId="77777777" w:rsidR="00047E8A" w:rsidRDefault="00000000">
            <w:r>
              <w:rPr>
                <w:color w:val="333333"/>
                <w:sz w:val="20"/>
                <w:szCs w:val="20"/>
              </w:rPr>
              <w:t>50%</w:t>
            </w:r>
          </w:p>
        </w:tc>
        <w:tc>
          <w:tcPr>
            <w:tcW w:w="3744" w:type="dxa"/>
            <w:shd w:val="clear" w:color="auto" w:fill="F7F7F7"/>
            <w:tcMar>
              <w:top w:w="80" w:type="dxa"/>
              <w:left w:w="120" w:type="dxa"/>
              <w:bottom w:w="80" w:type="dxa"/>
              <w:right w:w="120" w:type="dxa"/>
            </w:tcMar>
            <w:vAlign w:val="center"/>
          </w:tcPr>
          <w:p w14:paraId="7395937E" w14:textId="77777777" w:rsidR="00047E8A" w:rsidRDefault="00000000">
            <w:r>
              <w:rPr>
                <w:color w:val="333333"/>
                <w:sz w:val="20"/>
                <w:szCs w:val="20"/>
              </w:rPr>
              <w:t>Standard execution: moderate rate cuts, sustained CB buying, M2 catch-up</w:t>
            </w:r>
          </w:p>
        </w:tc>
      </w:tr>
      <w:tr w:rsidR="00047E8A" w14:paraId="439CA823" w14:textId="77777777" w:rsidTr="00604946">
        <w:tc>
          <w:tcPr>
            <w:tcW w:w="1872" w:type="dxa"/>
            <w:shd w:val="clear" w:color="auto" w:fill="FFFFFF"/>
            <w:tcMar>
              <w:top w:w="80" w:type="dxa"/>
              <w:left w:w="120" w:type="dxa"/>
              <w:bottom w:w="80" w:type="dxa"/>
              <w:right w:w="120" w:type="dxa"/>
            </w:tcMar>
            <w:vAlign w:val="center"/>
          </w:tcPr>
          <w:p w14:paraId="0C582E3E" w14:textId="77777777" w:rsidR="00047E8A" w:rsidRDefault="00000000">
            <w:r>
              <w:rPr>
                <w:b/>
                <w:bCs/>
                <w:color w:val="333333"/>
                <w:sz w:val="20"/>
                <w:szCs w:val="20"/>
              </w:rPr>
              <w:t>Bear Case</w:t>
            </w:r>
          </w:p>
        </w:tc>
        <w:tc>
          <w:tcPr>
            <w:tcW w:w="1872" w:type="dxa"/>
            <w:shd w:val="clear" w:color="auto" w:fill="FFFFFF"/>
            <w:tcMar>
              <w:top w:w="80" w:type="dxa"/>
              <w:left w:w="120" w:type="dxa"/>
              <w:bottom w:w="80" w:type="dxa"/>
              <w:right w:w="120" w:type="dxa"/>
            </w:tcMar>
            <w:vAlign w:val="center"/>
          </w:tcPr>
          <w:p w14:paraId="2DF2BD11" w14:textId="77777777" w:rsidR="00047E8A" w:rsidRDefault="00000000">
            <w:r>
              <w:rPr>
                <w:color w:val="E74C3C"/>
                <w:sz w:val="20"/>
                <w:szCs w:val="20"/>
              </w:rPr>
              <w:t>$4,200–$4,600</w:t>
            </w:r>
          </w:p>
        </w:tc>
        <w:tc>
          <w:tcPr>
            <w:tcW w:w="1872" w:type="dxa"/>
            <w:shd w:val="clear" w:color="auto" w:fill="FFFFFF"/>
            <w:tcMar>
              <w:top w:w="80" w:type="dxa"/>
              <w:left w:w="120" w:type="dxa"/>
              <w:bottom w:w="80" w:type="dxa"/>
              <w:right w:w="120" w:type="dxa"/>
            </w:tcMar>
            <w:vAlign w:val="center"/>
          </w:tcPr>
          <w:p w14:paraId="544C0606" w14:textId="77777777" w:rsidR="00047E8A" w:rsidRDefault="00000000">
            <w:r>
              <w:rPr>
                <w:color w:val="333333"/>
                <w:sz w:val="20"/>
                <w:szCs w:val="20"/>
              </w:rPr>
              <w:t>20%</w:t>
            </w:r>
          </w:p>
        </w:tc>
        <w:tc>
          <w:tcPr>
            <w:tcW w:w="3744" w:type="dxa"/>
            <w:shd w:val="clear" w:color="auto" w:fill="FFFFFF"/>
            <w:tcMar>
              <w:top w:w="80" w:type="dxa"/>
              <w:left w:w="120" w:type="dxa"/>
              <w:bottom w:w="80" w:type="dxa"/>
              <w:right w:w="120" w:type="dxa"/>
            </w:tcMar>
            <w:vAlign w:val="center"/>
          </w:tcPr>
          <w:p w14:paraId="038FEDA6" w14:textId="77777777" w:rsidR="00047E8A" w:rsidRDefault="00000000">
            <w:r>
              <w:rPr>
                <w:color w:val="333333"/>
                <w:sz w:val="20"/>
                <w:szCs w:val="20"/>
              </w:rPr>
              <w:t>Geopolitical détente + hawkish Fed + speculative unwind</w:t>
            </w:r>
          </w:p>
        </w:tc>
      </w:tr>
    </w:tbl>
    <w:p w14:paraId="6BEB0E58" w14:textId="77777777" w:rsidR="00047E8A" w:rsidRDefault="00047E8A">
      <w:pPr>
        <w:spacing w:after="100"/>
      </w:pPr>
    </w:p>
    <w:p w14:paraId="339238AF" w14:textId="77777777" w:rsidR="00047E8A" w:rsidRDefault="00000000">
      <w:pPr>
        <w:pStyle w:val="Heading2"/>
        <w:spacing w:after="120"/>
      </w:pPr>
      <w:r>
        <w:rPr>
          <w:color w:val="333333"/>
        </w:rPr>
        <w:t>Optimal Entry Points</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047E8A" w14:paraId="03F3E7D3" w14:textId="77777777" w:rsidTr="00604946">
        <w:tc>
          <w:tcPr>
            <w:tcW w:w="2340" w:type="dxa"/>
            <w:shd w:val="clear" w:color="auto" w:fill="D4AF37"/>
            <w:tcMar>
              <w:top w:w="80" w:type="dxa"/>
              <w:left w:w="120" w:type="dxa"/>
              <w:bottom w:w="80" w:type="dxa"/>
              <w:right w:w="120" w:type="dxa"/>
            </w:tcMar>
            <w:vAlign w:val="center"/>
          </w:tcPr>
          <w:p w14:paraId="0B956F03" w14:textId="77777777" w:rsidR="00047E8A" w:rsidRDefault="00000000">
            <w:r>
              <w:rPr>
                <w:b/>
                <w:bCs/>
                <w:color w:val="FFFFFF"/>
                <w:sz w:val="20"/>
                <w:szCs w:val="20"/>
              </w:rPr>
              <w:t>Entry Tier</w:t>
            </w:r>
          </w:p>
        </w:tc>
        <w:tc>
          <w:tcPr>
            <w:tcW w:w="2340" w:type="dxa"/>
            <w:shd w:val="clear" w:color="auto" w:fill="D4AF37"/>
            <w:tcMar>
              <w:top w:w="80" w:type="dxa"/>
              <w:left w:w="120" w:type="dxa"/>
              <w:bottom w:w="80" w:type="dxa"/>
              <w:right w:w="120" w:type="dxa"/>
            </w:tcMar>
            <w:vAlign w:val="center"/>
          </w:tcPr>
          <w:p w14:paraId="7ED08CF8" w14:textId="77777777" w:rsidR="00047E8A" w:rsidRDefault="00000000">
            <w:r>
              <w:rPr>
                <w:b/>
                <w:bCs/>
                <w:color w:val="FFFFFF"/>
                <w:sz w:val="20"/>
                <w:szCs w:val="20"/>
              </w:rPr>
              <w:t>Price Range</w:t>
            </w:r>
          </w:p>
        </w:tc>
        <w:tc>
          <w:tcPr>
            <w:tcW w:w="2340" w:type="dxa"/>
            <w:shd w:val="clear" w:color="auto" w:fill="D4AF37"/>
            <w:tcMar>
              <w:top w:w="80" w:type="dxa"/>
              <w:left w:w="120" w:type="dxa"/>
              <w:bottom w:w="80" w:type="dxa"/>
              <w:right w:w="120" w:type="dxa"/>
            </w:tcMar>
            <w:vAlign w:val="center"/>
          </w:tcPr>
          <w:p w14:paraId="21BCFFDB" w14:textId="77777777" w:rsidR="00047E8A" w:rsidRDefault="00000000">
            <w:r>
              <w:rPr>
                <w:b/>
                <w:bCs/>
                <w:color w:val="FFFFFF"/>
                <w:sz w:val="20"/>
                <w:szCs w:val="20"/>
              </w:rPr>
              <w:t>Upside to Target</w:t>
            </w:r>
          </w:p>
        </w:tc>
        <w:tc>
          <w:tcPr>
            <w:tcW w:w="2340" w:type="dxa"/>
            <w:shd w:val="clear" w:color="auto" w:fill="D4AF37"/>
            <w:tcMar>
              <w:top w:w="80" w:type="dxa"/>
              <w:left w:w="120" w:type="dxa"/>
              <w:bottom w:w="80" w:type="dxa"/>
              <w:right w:w="120" w:type="dxa"/>
            </w:tcMar>
            <w:vAlign w:val="center"/>
          </w:tcPr>
          <w:p w14:paraId="6AB02E7A" w14:textId="77777777" w:rsidR="00047E8A" w:rsidRDefault="00000000">
            <w:r>
              <w:rPr>
                <w:b/>
                <w:bCs/>
                <w:color w:val="FFFFFF"/>
                <w:sz w:val="20"/>
                <w:szCs w:val="20"/>
              </w:rPr>
              <w:t>Action</w:t>
            </w:r>
          </w:p>
        </w:tc>
      </w:tr>
      <w:tr w:rsidR="00047E8A" w14:paraId="0933CE69" w14:textId="77777777" w:rsidTr="00604946">
        <w:tc>
          <w:tcPr>
            <w:tcW w:w="2340" w:type="dxa"/>
            <w:shd w:val="clear" w:color="auto" w:fill="FFFFFF"/>
            <w:tcMar>
              <w:top w:w="80" w:type="dxa"/>
              <w:left w:w="120" w:type="dxa"/>
              <w:bottom w:w="80" w:type="dxa"/>
              <w:right w:w="120" w:type="dxa"/>
            </w:tcMar>
            <w:vAlign w:val="center"/>
          </w:tcPr>
          <w:p w14:paraId="3F11338A" w14:textId="77777777" w:rsidR="00047E8A" w:rsidRDefault="00000000">
            <w:r>
              <w:rPr>
                <w:b/>
                <w:bCs/>
                <w:color w:val="333333"/>
                <w:sz w:val="20"/>
                <w:szCs w:val="20"/>
              </w:rPr>
              <w:t>Tier 1: Accumulate</w:t>
            </w:r>
          </w:p>
        </w:tc>
        <w:tc>
          <w:tcPr>
            <w:tcW w:w="2340" w:type="dxa"/>
            <w:shd w:val="clear" w:color="auto" w:fill="FFFFFF"/>
            <w:tcMar>
              <w:top w:w="80" w:type="dxa"/>
              <w:left w:w="120" w:type="dxa"/>
              <w:bottom w:w="80" w:type="dxa"/>
              <w:right w:w="120" w:type="dxa"/>
            </w:tcMar>
            <w:vAlign w:val="center"/>
          </w:tcPr>
          <w:p w14:paraId="11F2FD38" w14:textId="77777777" w:rsidR="00047E8A" w:rsidRDefault="00000000">
            <w:r>
              <w:rPr>
                <w:color w:val="333333"/>
                <w:sz w:val="20"/>
                <w:szCs w:val="20"/>
              </w:rPr>
              <w:t>$4,800–$5,200</w:t>
            </w:r>
          </w:p>
        </w:tc>
        <w:tc>
          <w:tcPr>
            <w:tcW w:w="2340" w:type="dxa"/>
            <w:shd w:val="clear" w:color="auto" w:fill="FFFFFF"/>
            <w:tcMar>
              <w:top w:w="80" w:type="dxa"/>
              <w:left w:w="120" w:type="dxa"/>
              <w:bottom w:w="80" w:type="dxa"/>
              <w:right w:w="120" w:type="dxa"/>
            </w:tcMar>
            <w:vAlign w:val="center"/>
          </w:tcPr>
          <w:p w14:paraId="31E8F6C8" w14:textId="77777777" w:rsidR="00047E8A" w:rsidRDefault="00000000">
            <w:r>
              <w:rPr>
                <w:color w:val="333333"/>
                <w:sz w:val="20"/>
                <w:szCs w:val="20"/>
              </w:rPr>
              <w:t>17–27%</w:t>
            </w:r>
          </w:p>
        </w:tc>
        <w:tc>
          <w:tcPr>
            <w:tcW w:w="2340" w:type="dxa"/>
            <w:shd w:val="clear" w:color="auto" w:fill="FFFFFF"/>
            <w:tcMar>
              <w:top w:w="80" w:type="dxa"/>
              <w:left w:w="120" w:type="dxa"/>
              <w:bottom w:w="80" w:type="dxa"/>
              <w:right w:w="120" w:type="dxa"/>
            </w:tcMar>
            <w:vAlign w:val="center"/>
          </w:tcPr>
          <w:p w14:paraId="51501B4A" w14:textId="77777777" w:rsidR="00047E8A" w:rsidRDefault="00000000">
            <w:r>
              <w:rPr>
                <w:color w:val="333333"/>
                <w:sz w:val="20"/>
                <w:szCs w:val="20"/>
              </w:rPr>
              <w:t>Build core position</w:t>
            </w:r>
          </w:p>
        </w:tc>
      </w:tr>
      <w:tr w:rsidR="00047E8A" w14:paraId="1A1988F0" w14:textId="77777777" w:rsidTr="00604946">
        <w:tc>
          <w:tcPr>
            <w:tcW w:w="2340" w:type="dxa"/>
            <w:shd w:val="clear" w:color="auto" w:fill="F7F7F7"/>
            <w:tcMar>
              <w:top w:w="80" w:type="dxa"/>
              <w:left w:w="120" w:type="dxa"/>
              <w:bottom w:w="80" w:type="dxa"/>
              <w:right w:w="120" w:type="dxa"/>
            </w:tcMar>
            <w:vAlign w:val="center"/>
          </w:tcPr>
          <w:p w14:paraId="23825488" w14:textId="77777777" w:rsidR="00047E8A" w:rsidRDefault="00000000">
            <w:r>
              <w:rPr>
                <w:b/>
                <w:bCs/>
                <w:color w:val="333333"/>
                <w:sz w:val="20"/>
                <w:szCs w:val="20"/>
              </w:rPr>
              <w:t>Tier 2: Strong Buy</w:t>
            </w:r>
          </w:p>
        </w:tc>
        <w:tc>
          <w:tcPr>
            <w:tcW w:w="2340" w:type="dxa"/>
            <w:shd w:val="clear" w:color="auto" w:fill="F7F7F7"/>
            <w:tcMar>
              <w:top w:w="80" w:type="dxa"/>
              <w:left w:w="120" w:type="dxa"/>
              <w:bottom w:w="80" w:type="dxa"/>
              <w:right w:w="120" w:type="dxa"/>
            </w:tcMar>
            <w:vAlign w:val="center"/>
          </w:tcPr>
          <w:p w14:paraId="59F1BCB2" w14:textId="77777777" w:rsidR="00047E8A" w:rsidRDefault="00000000">
            <w:r>
              <w:rPr>
                <w:color w:val="333333"/>
                <w:sz w:val="20"/>
                <w:szCs w:val="20"/>
              </w:rPr>
              <w:t>$4,200–$4,800</w:t>
            </w:r>
          </w:p>
        </w:tc>
        <w:tc>
          <w:tcPr>
            <w:tcW w:w="2340" w:type="dxa"/>
            <w:shd w:val="clear" w:color="auto" w:fill="F7F7F7"/>
            <w:tcMar>
              <w:top w:w="80" w:type="dxa"/>
              <w:left w:w="120" w:type="dxa"/>
              <w:bottom w:w="80" w:type="dxa"/>
              <w:right w:w="120" w:type="dxa"/>
            </w:tcMar>
            <w:vAlign w:val="center"/>
          </w:tcPr>
          <w:p w14:paraId="29E0E9F5" w14:textId="77777777" w:rsidR="00047E8A" w:rsidRDefault="00000000">
            <w:r>
              <w:rPr>
                <w:color w:val="333333"/>
                <w:sz w:val="20"/>
                <w:szCs w:val="20"/>
              </w:rPr>
              <w:t>27–45%</w:t>
            </w:r>
          </w:p>
        </w:tc>
        <w:tc>
          <w:tcPr>
            <w:tcW w:w="2340" w:type="dxa"/>
            <w:shd w:val="clear" w:color="auto" w:fill="F7F7F7"/>
            <w:tcMar>
              <w:top w:w="80" w:type="dxa"/>
              <w:left w:w="120" w:type="dxa"/>
              <w:bottom w:w="80" w:type="dxa"/>
              <w:right w:w="120" w:type="dxa"/>
            </w:tcMar>
            <w:vAlign w:val="center"/>
          </w:tcPr>
          <w:p w14:paraId="347C280F" w14:textId="77777777" w:rsidR="00047E8A" w:rsidRDefault="00000000">
            <w:r>
              <w:rPr>
                <w:color w:val="333333"/>
                <w:sz w:val="20"/>
                <w:szCs w:val="20"/>
              </w:rPr>
              <w:t>Aggressive accumulation</w:t>
            </w:r>
          </w:p>
        </w:tc>
      </w:tr>
      <w:tr w:rsidR="00047E8A" w14:paraId="5A01ADEB" w14:textId="77777777" w:rsidTr="00604946">
        <w:tc>
          <w:tcPr>
            <w:tcW w:w="2340" w:type="dxa"/>
            <w:shd w:val="clear" w:color="auto" w:fill="FFFFFF"/>
            <w:tcMar>
              <w:top w:w="80" w:type="dxa"/>
              <w:left w:w="120" w:type="dxa"/>
              <w:bottom w:w="80" w:type="dxa"/>
              <w:right w:w="120" w:type="dxa"/>
            </w:tcMar>
            <w:vAlign w:val="center"/>
          </w:tcPr>
          <w:p w14:paraId="60A72F95" w14:textId="77777777" w:rsidR="00047E8A" w:rsidRDefault="00000000">
            <w:r>
              <w:rPr>
                <w:b/>
                <w:bCs/>
                <w:color w:val="333333"/>
                <w:sz w:val="20"/>
                <w:szCs w:val="20"/>
              </w:rPr>
              <w:t>Tier 3: Exceptional</w:t>
            </w:r>
          </w:p>
        </w:tc>
        <w:tc>
          <w:tcPr>
            <w:tcW w:w="2340" w:type="dxa"/>
            <w:shd w:val="clear" w:color="auto" w:fill="FFFFFF"/>
            <w:tcMar>
              <w:top w:w="80" w:type="dxa"/>
              <w:left w:w="120" w:type="dxa"/>
              <w:bottom w:w="80" w:type="dxa"/>
              <w:right w:w="120" w:type="dxa"/>
            </w:tcMar>
            <w:vAlign w:val="center"/>
          </w:tcPr>
          <w:p w14:paraId="08D96383" w14:textId="77777777" w:rsidR="00047E8A" w:rsidRDefault="00000000">
            <w:r>
              <w:rPr>
                <w:color w:val="333333"/>
                <w:sz w:val="20"/>
                <w:szCs w:val="20"/>
              </w:rPr>
              <w:t>Under $4,200</w:t>
            </w:r>
          </w:p>
        </w:tc>
        <w:tc>
          <w:tcPr>
            <w:tcW w:w="2340" w:type="dxa"/>
            <w:shd w:val="clear" w:color="auto" w:fill="FFFFFF"/>
            <w:tcMar>
              <w:top w:w="80" w:type="dxa"/>
              <w:left w:w="120" w:type="dxa"/>
              <w:bottom w:w="80" w:type="dxa"/>
              <w:right w:w="120" w:type="dxa"/>
            </w:tcMar>
            <w:vAlign w:val="center"/>
          </w:tcPr>
          <w:p w14:paraId="16CB6026" w14:textId="77777777" w:rsidR="00047E8A" w:rsidRDefault="00000000">
            <w:r>
              <w:rPr>
                <w:color w:val="333333"/>
                <w:sz w:val="20"/>
                <w:szCs w:val="20"/>
              </w:rPr>
              <w:t>&gt;45%</w:t>
            </w:r>
          </w:p>
        </w:tc>
        <w:tc>
          <w:tcPr>
            <w:tcW w:w="2340" w:type="dxa"/>
            <w:shd w:val="clear" w:color="auto" w:fill="FFFFFF"/>
            <w:tcMar>
              <w:top w:w="80" w:type="dxa"/>
              <w:left w:w="120" w:type="dxa"/>
              <w:bottom w:w="80" w:type="dxa"/>
              <w:right w:w="120" w:type="dxa"/>
            </w:tcMar>
            <w:vAlign w:val="center"/>
          </w:tcPr>
          <w:p w14:paraId="13345731" w14:textId="77777777" w:rsidR="00047E8A" w:rsidRDefault="00000000">
            <w:r>
              <w:rPr>
                <w:color w:val="333333"/>
                <w:sz w:val="20"/>
                <w:szCs w:val="20"/>
              </w:rPr>
              <w:t>Maximum conviction</w:t>
            </w:r>
          </w:p>
        </w:tc>
      </w:tr>
    </w:tbl>
    <w:p w14:paraId="0D79F647" w14:textId="77777777" w:rsidR="00047E8A" w:rsidRDefault="00047E8A">
      <w:pPr>
        <w:spacing w:after="100"/>
      </w:pPr>
    </w:p>
    <w:p w14:paraId="1AE9B678" w14:textId="77777777" w:rsidR="00047E8A" w:rsidRDefault="00000000">
      <w:pPr>
        <w:spacing w:after="160"/>
      </w:pPr>
      <w:r>
        <w:rPr>
          <w:b/>
          <w:bCs/>
          <w:color w:val="333333"/>
        </w:rPr>
        <w:t xml:space="preserve">Current Assessment (February 18, 2026): </w:t>
      </w:r>
      <w:r>
        <w:rPr>
          <w:color w:val="333333"/>
        </w:rPr>
        <w:t xml:space="preserve">At approximately $4,917, gold sits squarely in Tier 1 territory. The metal offers approximately 24% upside to our base-case target of $6,100. The most likely catalysts for a Tier 2 or Tier 3 entry would be a speculative unwind driven by margin calls, a temporary geopolitical détente, or a hawkish Fed signal. Each of these would represent </w:t>
      </w:r>
      <w:r>
        <w:rPr>
          <w:b/>
          <w:bCs/>
          <w:i/>
          <w:iCs/>
          <w:color w:val="333333"/>
        </w:rPr>
        <w:t>noise, not signal</w:t>
      </w:r>
      <w:r>
        <w:rPr>
          <w:color w:val="333333"/>
        </w:rPr>
        <w:t>, and should be treated as accumulation opportunities.</w:t>
      </w:r>
    </w:p>
    <w:p w14:paraId="1309E7AC" w14:textId="77777777" w:rsidR="00047E8A" w:rsidRDefault="00000000">
      <w:r>
        <w:br w:type="page"/>
      </w:r>
    </w:p>
    <w:p w14:paraId="7E096F4C" w14:textId="77777777" w:rsidR="00047E8A" w:rsidRDefault="00000000">
      <w:pPr>
        <w:pStyle w:val="Heading1"/>
        <w:spacing w:after="120"/>
      </w:pPr>
      <w:r>
        <w:lastRenderedPageBreak/>
        <w:t>SUMMARY VERDICT &amp; STRATEGIC VIEW</w:t>
      </w:r>
    </w:p>
    <w:p w14:paraId="4AFFB131" w14:textId="77777777" w:rsidR="00047E8A" w:rsidRDefault="00000000">
      <w:pPr>
        <w:spacing w:after="160"/>
      </w:pPr>
      <w:r>
        <w:rPr>
          <w:color w:val="333333"/>
          <w:sz w:val="24"/>
          <w:szCs w:val="24"/>
        </w:rPr>
        <w:t xml:space="preserve">Gold represents a </w:t>
      </w:r>
      <w:r>
        <w:rPr>
          <w:b/>
          <w:bCs/>
          <w:color w:val="D4AF37"/>
          <w:sz w:val="24"/>
          <w:szCs w:val="24"/>
        </w:rPr>
        <w:t>High-Conviction Structural Position</w:t>
      </w:r>
      <w:r>
        <w:rPr>
          <w:color w:val="333333"/>
          <w:sz w:val="24"/>
          <w:szCs w:val="24"/>
        </w:rPr>
        <w:t>. The confluence of monetary debasement, sovereign reserve displacement, supply constraints, and industrial demand creates a structural bull case that transcends any single catalyst.</w:t>
      </w:r>
    </w:p>
    <w:p w14:paraId="4E3D84EF" w14:textId="77777777" w:rsidR="00047E8A" w:rsidRDefault="00047E8A">
      <w:pPr>
        <w:spacing w:after="60"/>
      </w:pPr>
    </w:p>
    <w:tbl>
      <w:tblPr>
        <w:tblW w:w="9360" w:type="dxa"/>
        <w:tblCellMar>
          <w:left w:w="10" w:type="dxa"/>
          <w:right w:w="10" w:type="dxa"/>
        </w:tblCellMar>
        <w:tblLook w:val="04A0" w:firstRow="1" w:lastRow="0" w:firstColumn="1" w:lastColumn="0" w:noHBand="0" w:noVBand="1"/>
      </w:tblPr>
      <w:tblGrid>
        <w:gridCol w:w="4680"/>
        <w:gridCol w:w="4680"/>
      </w:tblGrid>
      <w:tr w:rsidR="00047E8A" w14:paraId="0E8725D7" w14:textId="77777777" w:rsidTr="00604946">
        <w:tc>
          <w:tcPr>
            <w:tcW w:w="4680" w:type="dxa"/>
            <w:shd w:val="clear" w:color="auto" w:fill="D4AF37"/>
            <w:tcMar>
              <w:top w:w="80" w:type="dxa"/>
              <w:left w:w="120" w:type="dxa"/>
              <w:bottom w:w="80" w:type="dxa"/>
              <w:right w:w="120" w:type="dxa"/>
            </w:tcMar>
          </w:tcPr>
          <w:p w14:paraId="2921A063" w14:textId="77777777" w:rsidR="00047E8A" w:rsidRDefault="00000000">
            <w:r>
              <w:rPr>
                <w:b/>
                <w:bCs/>
                <w:color w:val="FFFFFF"/>
                <w:sz w:val="20"/>
                <w:szCs w:val="20"/>
              </w:rPr>
              <w:t>Key Data Point</w:t>
            </w:r>
          </w:p>
        </w:tc>
        <w:tc>
          <w:tcPr>
            <w:tcW w:w="4680" w:type="dxa"/>
            <w:shd w:val="clear" w:color="auto" w:fill="D4AF37"/>
            <w:tcMar>
              <w:top w:w="80" w:type="dxa"/>
              <w:left w:w="120" w:type="dxa"/>
              <w:bottom w:w="80" w:type="dxa"/>
              <w:right w:w="120" w:type="dxa"/>
            </w:tcMar>
          </w:tcPr>
          <w:p w14:paraId="0A12CE75" w14:textId="77777777" w:rsidR="00047E8A" w:rsidRDefault="00000000">
            <w:r>
              <w:rPr>
                <w:b/>
                <w:bCs/>
                <w:color w:val="FFFFFF"/>
                <w:sz w:val="20"/>
                <w:szCs w:val="20"/>
              </w:rPr>
              <w:t>Current</w:t>
            </w:r>
          </w:p>
        </w:tc>
      </w:tr>
      <w:tr w:rsidR="00047E8A" w14:paraId="24BCB33D" w14:textId="77777777" w:rsidTr="00604946">
        <w:tc>
          <w:tcPr>
            <w:tcW w:w="4680" w:type="dxa"/>
            <w:shd w:val="clear" w:color="auto" w:fill="FFFFFF"/>
            <w:tcMar>
              <w:top w:w="80" w:type="dxa"/>
              <w:left w:w="120" w:type="dxa"/>
              <w:bottom w:w="80" w:type="dxa"/>
              <w:right w:w="120" w:type="dxa"/>
            </w:tcMar>
          </w:tcPr>
          <w:p w14:paraId="71C35995" w14:textId="77777777" w:rsidR="00047E8A" w:rsidRDefault="00000000">
            <w:r>
              <w:rPr>
                <w:b/>
                <w:bCs/>
                <w:color w:val="333333"/>
                <w:sz w:val="20"/>
                <w:szCs w:val="20"/>
              </w:rPr>
              <w:t>Spot Price (Feb 18, 2026)</w:t>
            </w:r>
          </w:p>
        </w:tc>
        <w:tc>
          <w:tcPr>
            <w:tcW w:w="4680" w:type="dxa"/>
            <w:shd w:val="clear" w:color="auto" w:fill="FFFFFF"/>
            <w:tcMar>
              <w:top w:w="80" w:type="dxa"/>
              <w:left w:w="120" w:type="dxa"/>
              <w:bottom w:w="80" w:type="dxa"/>
              <w:right w:w="120" w:type="dxa"/>
            </w:tcMar>
          </w:tcPr>
          <w:p w14:paraId="6E5096F9" w14:textId="77777777" w:rsidR="00047E8A" w:rsidRDefault="00000000">
            <w:r>
              <w:rPr>
                <w:color w:val="333333"/>
                <w:sz w:val="20"/>
                <w:szCs w:val="20"/>
              </w:rPr>
              <w:t>~$4,917 / oz</w:t>
            </w:r>
          </w:p>
        </w:tc>
      </w:tr>
      <w:tr w:rsidR="00047E8A" w14:paraId="07C80C95" w14:textId="77777777" w:rsidTr="00604946">
        <w:tc>
          <w:tcPr>
            <w:tcW w:w="4680" w:type="dxa"/>
            <w:shd w:val="clear" w:color="auto" w:fill="F7F7F7"/>
            <w:tcMar>
              <w:top w:w="80" w:type="dxa"/>
              <w:left w:w="120" w:type="dxa"/>
              <w:bottom w:w="80" w:type="dxa"/>
              <w:right w:w="120" w:type="dxa"/>
            </w:tcMar>
          </w:tcPr>
          <w:p w14:paraId="7634EA79" w14:textId="77777777" w:rsidR="00047E8A" w:rsidRDefault="00000000">
            <w:r>
              <w:rPr>
                <w:b/>
                <w:bCs/>
                <w:color w:val="333333"/>
                <w:sz w:val="20"/>
                <w:szCs w:val="20"/>
              </w:rPr>
              <w:t>Solo Strategist Year-End Target</w:t>
            </w:r>
          </w:p>
        </w:tc>
        <w:tc>
          <w:tcPr>
            <w:tcW w:w="4680" w:type="dxa"/>
            <w:shd w:val="clear" w:color="auto" w:fill="F7F7F7"/>
            <w:tcMar>
              <w:top w:w="80" w:type="dxa"/>
              <w:left w:w="120" w:type="dxa"/>
              <w:bottom w:w="80" w:type="dxa"/>
              <w:right w:w="120" w:type="dxa"/>
            </w:tcMar>
          </w:tcPr>
          <w:p w14:paraId="67141073" w14:textId="77777777" w:rsidR="00047E8A" w:rsidRDefault="00000000">
            <w:r>
              <w:rPr>
                <w:color w:val="333333"/>
                <w:sz w:val="20"/>
                <w:szCs w:val="20"/>
              </w:rPr>
              <w:t>$6,100 / oz</w:t>
            </w:r>
          </w:p>
        </w:tc>
      </w:tr>
      <w:tr w:rsidR="00047E8A" w14:paraId="04B51121" w14:textId="77777777" w:rsidTr="00604946">
        <w:tc>
          <w:tcPr>
            <w:tcW w:w="4680" w:type="dxa"/>
            <w:shd w:val="clear" w:color="auto" w:fill="FFFFFF"/>
            <w:tcMar>
              <w:top w:w="80" w:type="dxa"/>
              <w:left w:w="120" w:type="dxa"/>
              <w:bottom w:w="80" w:type="dxa"/>
              <w:right w:w="120" w:type="dxa"/>
            </w:tcMar>
          </w:tcPr>
          <w:p w14:paraId="20976CD3" w14:textId="77777777" w:rsidR="00047E8A" w:rsidRDefault="00000000">
            <w:r>
              <w:rPr>
                <w:b/>
                <w:bCs/>
                <w:color w:val="333333"/>
                <w:sz w:val="20"/>
                <w:szCs w:val="20"/>
              </w:rPr>
              <w:t>Implied Upside</w:t>
            </w:r>
          </w:p>
        </w:tc>
        <w:tc>
          <w:tcPr>
            <w:tcW w:w="4680" w:type="dxa"/>
            <w:shd w:val="clear" w:color="auto" w:fill="FFFFFF"/>
            <w:tcMar>
              <w:top w:w="80" w:type="dxa"/>
              <w:left w:w="120" w:type="dxa"/>
              <w:bottom w:w="80" w:type="dxa"/>
              <w:right w:w="120" w:type="dxa"/>
            </w:tcMar>
          </w:tcPr>
          <w:p w14:paraId="6C369312" w14:textId="77777777" w:rsidR="00047E8A" w:rsidRDefault="00000000">
            <w:r>
              <w:rPr>
                <w:color w:val="333333"/>
                <w:sz w:val="20"/>
                <w:szCs w:val="20"/>
              </w:rPr>
              <w:t>~24%</w:t>
            </w:r>
          </w:p>
        </w:tc>
      </w:tr>
      <w:tr w:rsidR="00047E8A" w14:paraId="0E2524FF" w14:textId="77777777" w:rsidTr="00604946">
        <w:tc>
          <w:tcPr>
            <w:tcW w:w="4680" w:type="dxa"/>
            <w:shd w:val="clear" w:color="auto" w:fill="F7F7F7"/>
            <w:tcMar>
              <w:top w:w="80" w:type="dxa"/>
              <w:left w:w="120" w:type="dxa"/>
              <w:bottom w:w="80" w:type="dxa"/>
              <w:right w:w="120" w:type="dxa"/>
            </w:tcMar>
          </w:tcPr>
          <w:p w14:paraId="315ECE92" w14:textId="77777777" w:rsidR="00047E8A" w:rsidRDefault="00000000">
            <w:r>
              <w:rPr>
                <w:b/>
                <w:bCs/>
                <w:color w:val="333333"/>
                <w:sz w:val="20"/>
                <w:szCs w:val="20"/>
              </w:rPr>
              <w:t>Bull Case Year-End Target</w:t>
            </w:r>
          </w:p>
        </w:tc>
        <w:tc>
          <w:tcPr>
            <w:tcW w:w="4680" w:type="dxa"/>
            <w:shd w:val="clear" w:color="auto" w:fill="F7F7F7"/>
            <w:tcMar>
              <w:top w:w="80" w:type="dxa"/>
              <w:left w:w="120" w:type="dxa"/>
              <w:bottom w:w="80" w:type="dxa"/>
              <w:right w:w="120" w:type="dxa"/>
            </w:tcMar>
          </w:tcPr>
          <w:p w14:paraId="1D2777A1" w14:textId="77777777" w:rsidR="00047E8A" w:rsidRDefault="00000000">
            <w:r>
              <w:rPr>
                <w:color w:val="333333"/>
                <w:sz w:val="20"/>
                <w:szCs w:val="20"/>
              </w:rPr>
              <w:t>$6,800–$7,200 / oz</w:t>
            </w:r>
          </w:p>
        </w:tc>
      </w:tr>
      <w:tr w:rsidR="00047E8A" w14:paraId="43D09A0A" w14:textId="77777777" w:rsidTr="00604946">
        <w:tc>
          <w:tcPr>
            <w:tcW w:w="4680" w:type="dxa"/>
            <w:shd w:val="clear" w:color="auto" w:fill="FFFFFF"/>
            <w:tcMar>
              <w:top w:w="80" w:type="dxa"/>
              <w:left w:w="120" w:type="dxa"/>
              <w:bottom w:w="80" w:type="dxa"/>
              <w:right w:w="120" w:type="dxa"/>
            </w:tcMar>
          </w:tcPr>
          <w:p w14:paraId="42090561" w14:textId="77777777" w:rsidR="00047E8A" w:rsidRDefault="00000000">
            <w:r>
              <w:rPr>
                <w:b/>
                <w:bCs/>
                <w:color w:val="333333"/>
                <w:sz w:val="20"/>
                <w:szCs w:val="20"/>
              </w:rPr>
              <w:t>Institutional Consensus Range</w:t>
            </w:r>
          </w:p>
        </w:tc>
        <w:tc>
          <w:tcPr>
            <w:tcW w:w="4680" w:type="dxa"/>
            <w:shd w:val="clear" w:color="auto" w:fill="FFFFFF"/>
            <w:tcMar>
              <w:top w:w="80" w:type="dxa"/>
              <w:left w:w="120" w:type="dxa"/>
              <w:bottom w:w="80" w:type="dxa"/>
              <w:right w:w="120" w:type="dxa"/>
            </w:tcMar>
          </w:tcPr>
          <w:p w14:paraId="6F2043A9" w14:textId="77777777" w:rsidR="00047E8A" w:rsidRDefault="00000000">
            <w:r>
              <w:rPr>
                <w:color w:val="333333"/>
                <w:sz w:val="20"/>
                <w:szCs w:val="20"/>
              </w:rPr>
              <w:t>$5,400–$6,300</w:t>
            </w:r>
          </w:p>
        </w:tc>
      </w:tr>
      <w:tr w:rsidR="00047E8A" w14:paraId="1DC1DBC8" w14:textId="77777777" w:rsidTr="00604946">
        <w:tc>
          <w:tcPr>
            <w:tcW w:w="4680" w:type="dxa"/>
            <w:shd w:val="clear" w:color="auto" w:fill="F7F7F7"/>
            <w:tcMar>
              <w:top w:w="80" w:type="dxa"/>
              <w:left w:w="120" w:type="dxa"/>
              <w:bottom w:w="80" w:type="dxa"/>
              <w:right w:w="120" w:type="dxa"/>
            </w:tcMar>
          </w:tcPr>
          <w:p w14:paraId="34B23DD6" w14:textId="77777777" w:rsidR="00047E8A" w:rsidRDefault="00000000">
            <w:r>
              <w:rPr>
                <w:b/>
                <w:bCs/>
                <w:color w:val="333333"/>
                <w:sz w:val="20"/>
                <w:szCs w:val="20"/>
              </w:rPr>
              <w:t>Optimal Entry (Tier 1: Accumulate)</w:t>
            </w:r>
          </w:p>
        </w:tc>
        <w:tc>
          <w:tcPr>
            <w:tcW w:w="4680" w:type="dxa"/>
            <w:shd w:val="clear" w:color="auto" w:fill="F7F7F7"/>
            <w:tcMar>
              <w:top w:w="80" w:type="dxa"/>
              <w:left w:w="120" w:type="dxa"/>
              <w:bottom w:w="80" w:type="dxa"/>
              <w:right w:w="120" w:type="dxa"/>
            </w:tcMar>
          </w:tcPr>
          <w:p w14:paraId="34FB0A2B" w14:textId="77777777" w:rsidR="00047E8A" w:rsidRDefault="00000000">
            <w:r>
              <w:rPr>
                <w:color w:val="333333"/>
                <w:sz w:val="20"/>
                <w:szCs w:val="20"/>
              </w:rPr>
              <w:t>$4,800–$5,200</w:t>
            </w:r>
          </w:p>
        </w:tc>
      </w:tr>
      <w:tr w:rsidR="00047E8A" w14:paraId="22631F0E" w14:textId="77777777" w:rsidTr="00604946">
        <w:tc>
          <w:tcPr>
            <w:tcW w:w="4680" w:type="dxa"/>
            <w:shd w:val="clear" w:color="auto" w:fill="FFFFFF"/>
            <w:tcMar>
              <w:top w:w="80" w:type="dxa"/>
              <w:left w:w="120" w:type="dxa"/>
              <w:bottom w:w="80" w:type="dxa"/>
              <w:right w:w="120" w:type="dxa"/>
            </w:tcMar>
          </w:tcPr>
          <w:p w14:paraId="31193810" w14:textId="77777777" w:rsidR="00047E8A" w:rsidRDefault="00000000">
            <w:r>
              <w:rPr>
                <w:b/>
                <w:bCs/>
                <w:color w:val="333333"/>
                <w:sz w:val="20"/>
                <w:szCs w:val="20"/>
              </w:rPr>
              <w:t>Optimal Entry (Tier 2: Strong Buy)</w:t>
            </w:r>
          </w:p>
        </w:tc>
        <w:tc>
          <w:tcPr>
            <w:tcW w:w="4680" w:type="dxa"/>
            <w:shd w:val="clear" w:color="auto" w:fill="FFFFFF"/>
            <w:tcMar>
              <w:top w:w="80" w:type="dxa"/>
              <w:left w:w="120" w:type="dxa"/>
              <w:bottom w:w="80" w:type="dxa"/>
              <w:right w:w="120" w:type="dxa"/>
            </w:tcMar>
          </w:tcPr>
          <w:p w14:paraId="2F887E54" w14:textId="77777777" w:rsidR="00047E8A" w:rsidRDefault="00000000">
            <w:r>
              <w:rPr>
                <w:color w:val="333333"/>
                <w:sz w:val="20"/>
                <w:szCs w:val="20"/>
              </w:rPr>
              <w:t>$4,200–$4,800</w:t>
            </w:r>
          </w:p>
        </w:tc>
      </w:tr>
      <w:tr w:rsidR="00047E8A" w14:paraId="13DFF452" w14:textId="77777777" w:rsidTr="00604946">
        <w:tc>
          <w:tcPr>
            <w:tcW w:w="4680" w:type="dxa"/>
            <w:shd w:val="clear" w:color="auto" w:fill="F7F7F7"/>
            <w:tcMar>
              <w:top w:w="80" w:type="dxa"/>
              <w:left w:w="120" w:type="dxa"/>
              <w:bottom w:w="80" w:type="dxa"/>
              <w:right w:w="120" w:type="dxa"/>
            </w:tcMar>
          </w:tcPr>
          <w:p w14:paraId="4FAB1AF3" w14:textId="77777777" w:rsidR="00047E8A" w:rsidRDefault="00000000">
            <w:r>
              <w:rPr>
                <w:b/>
                <w:bCs/>
                <w:color w:val="333333"/>
                <w:sz w:val="20"/>
                <w:szCs w:val="20"/>
              </w:rPr>
              <w:t>2025 Total Demand</w:t>
            </w:r>
          </w:p>
        </w:tc>
        <w:tc>
          <w:tcPr>
            <w:tcW w:w="4680" w:type="dxa"/>
            <w:shd w:val="clear" w:color="auto" w:fill="F7F7F7"/>
            <w:tcMar>
              <w:top w:w="80" w:type="dxa"/>
              <w:left w:w="120" w:type="dxa"/>
              <w:bottom w:w="80" w:type="dxa"/>
              <w:right w:w="120" w:type="dxa"/>
            </w:tcMar>
          </w:tcPr>
          <w:p w14:paraId="7235C553" w14:textId="77777777" w:rsidR="00047E8A" w:rsidRDefault="00000000">
            <w:r>
              <w:rPr>
                <w:color w:val="333333"/>
                <w:sz w:val="20"/>
                <w:szCs w:val="20"/>
              </w:rPr>
              <w:t>5,002 tonnes (record)</w:t>
            </w:r>
          </w:p>
        </w:tc>
      </w:tr>
      <w:tr w:rsidR="00047E8A" w14:paraId="4D0540FC" w14:textId="77777777" w:rsidTr="00604946">
        <w:tc>
          <w:tcPr>
            <w:tcW w:w="4680" w:type="dxa"/>
            <w:shd w:val="clear" w:color="auto" w:fill="FFFFFF"/>
            <w:tcMar>
              <w:top w:w="80" w:type="dxa"/>
              <w:left w:w="120" w:type="dxa"/>
              <w:bottom w:w="80" w:type="dxa"/>
              <w:right w:w="120" w:type="dxa"/>
            </w:tcMar>
          </w:tcPr>
          <w:p w14:paraId="11ACA850" w14:textId="77777777" w:rsidR="00047E8A" w:rsidRDefault="00000000">
            <w:r>
              <w:rPr>
                <w:b/>
                <w:bCs/>
                <w:color w:val="333333"/>
                <w:sz w:val="20"/>
                <w:szCs w:val="20"/>
              </w:rPr>
              <w:t>US M2 Money Supply</w:t>
            </w:r>
          </w:p>
        </w:tc>
        <w:tc>
          <w:tcPr>
            <w:tcW w:w="4680" w:type="dxa"/>
            <w:shd w:val="clear" w:color="auto" w:fill="FFFFFF"/>
            <w:tcMar>
              <w:top w:w="80" w:type="dxa"/>
              <w:left w:w="120" w:type="dxa"/>
              <w:bottom w:w="80" w:type="dxa"/>
              <w:right w:w="120" w:type="dxa"/>
            </w:tcMar>
          </w:tcPr>
          <w:p w14:paraId="27C1B338" w14:textId="77777777" w:rsidR="00047E8A" w:rsidRDefault="00000000">
            <w:r>
              <w:rPr>
                <w:color w:val="333333"/>
                <w:sz w:val="20"/>
                <w:szCs w:val="20"/>
              </w:rPr>
              <w:t>$22.4 Trillion (+45% since Jan 2020)</w:t>
            </w:r>
          </w:p>
        </w:tc>
      </w:tr>
      <w:tr w:rsidR="00047E8A" w14:paraId="765FC229" w14:textId="77777777" w:rsidTr="00604946">
        <w:tc>
          <w:tcPr>
            <w:tcW w:w="4680" w:type="dxa"/>
            <w:shd w:val="clear" w:color="auto" w:fill="F7F7F7"/>
            <w:tcMar>
              <w:top w:w="80" w:type="dxa"/>
              <w:left w:w="120" w:type="dxa"/>
              <w:bottom w:w="80" w:type="dxa"/>
              <w:right w:w="120" w:type="dxa"/>
            </w:tcMar>
          </w:tcPr>
          <w:p w14:paraId="5D9AF4FD" w14:textId="77777777" w:rsidR="00047E8A" w:rsidRDefault="00000000">
            <w:r>
              <w:rPr>
                <w:b/>
                <w:bCs/>
                <w:color w:val="333333"/>
                <w:sz w:val="20"/>
                <w:szCs w:val="20"/>
              </w:rPr>
              <w:t>Central Bank Purchases (2025)</w:t>
            </w:r>
          </w:p>
        </w:tc>
        <w:tc>
          <w:tcPr>
            <w:tcW w:w="4680" w:type="dxa"/>
            <w:shd w:val="clear" w:color="auto" w:fill="F7F7F7"/>
            <w:tcMar>
              <w:top w:w="80" w:type="dxa"/>
              <w:left w:w="120" w:type="dxa"/>
              <w:bottom w:w="80" w:type="dxa"/>
              <w:right w:w="120" w:type="dxa"/>
            </w:tcMar>
          </w:tcPr>
          <w:p w14:paraId="1CB567E7" w14:textId="77777777" w:rsidR="00047E8A" w:rsidRDefault="00000000">
            <w:r>
              <w:rPr>
                <w:color w:val="333333"/>
                <w:sz w:val="20"/>
                <w:szCs w:val="20"/>
              </w:rPr>
              <w:t>863 tonnes</w:t>
            </w:r>
          </w:p>
        </w:tc>
      </w:tr>
      <w:tr w:rsidR="00047E8A" w14:paraId="7270D10E" w14:textId="77777777" w:rsidTr="00604946">
        <w:tc>
          <w:tcPr>
            <w:tcW w:w="4680" w:type="dxa"/>
            <w:shd w:val="clear" w:color="auto" w:fill="FFFFFF"/>
            <w:tcMar>
              <w:top w:w="80" w:type="dxa"/>
              <w:left w:w="120" w:type="dxa"/>
              <w:bottom w:w="80" w:type="dxa"/>
              <w:right w:w="120" w:type="dxa"/>
            </w:tcMar>
          </w:tcPr>
          <w:p w14:paraId="52A89668" w14:textId="77777777" w:rsidR="00047E8A" w:rsidRDefault="00000000">
            <w:r>
              <w:rPr>
                <w:b/>
                <w:bCs/>
                <w:color w:val="333333"/>
                <w:sz w:val="20"/>
                <w:szCs w:val="20"/>
              </w:rPr>
              <w:t xml:space="preserve">Mine Production Growth (10yr </w:t>
            </w:r>
            <w:proofErr w:type="spellStart"/>
            <w:r>
              <w:rPr>
                <w:b/>
                <w:bCs/>
                <w:color w:val="333333"/>
                <w:sz w:val="20"/>
                <w:szCs w:val="20"/>
              </w:rPr>
              <w:t>avg</w:t>
            </w:r>
            <w:proofErr w:type="spellEnd"/>
            <w:r>
              <w:rPr>
                <w:b/>
                <w:bCs/>
                <w:color w:val="333333"/>
                <w:sz w:val="20"/>
                <w:szCs w:val="20"/>
              </w:rPr>
              <w:t>)</w:t>
            </w:r>
          </w:p>
        </w:tc>
        <w:tc>
          <w:tcPr>
            <w:tcW w:w="4680" w:type="dxa"/>
            <w:shd w:val="clear" w:color="auto" w:fill="FFFFFF"/>
            <w:tcMar>
              <w:top w:w="80" w:type="dxa"/>
              <w:left w:w="120" w:type="dxa"/>
              <w:bottom w:w="80" w:type="dxa"/>
              <w:right w:w="120" w:type="dxa"/>
            </w:tcMar>
          </w:tcPr>
          <w:p w14:paraId="289EE2D5" w14:textId="77777777" w:rsidR="00047E8A" w:rsidRDefault="00000000">
            <w:r>
              <w:rPr>
                <w:color w:val="333333"/>
                <w:sz w:val="20"/>
                <w:szCs w:val="20"/>
              </w:rPr>
              <w:t>&lt;1% annually</w:t>
            </w:r>
          </w:p>
        </w:tc>
      </w:tr>
    </w:tbl>
    <w:p w14:paraId="6D10F175" w14:textId="77777777" w:rsidR="00047E8A" w:rsidRDefault="00047E8A">
      <w:pPr>
        <w:spacing w:after="200"/>
      </w:pPr>
    </w:p>
    <w:p w14:paraId="3E0BFA95" w14:textId="77777777" w:rsidR="00047E8A" w:rsidRDefault="00000000">
      <w:pPr>
        <w:spacing w:after="200"/>
        <w:jc w:val="center"/>
      </w:pPr>
      <w:r>
        <w:rPr>
          <w:i/>
          <w:iCs/>
          <w:color w:val="666666"/>
          <w:sz w:val="24"/>
          <w:szCs w:val="24"/>
        </w:rPr>
        <w:t>“Gold is no longer a relic of the past. It is the infrastructure of the new monetary order. The market is still pricing the commodity whilst ignoring the currency.”</w:t>
      </w:r>
    </w:p>
    <w:p w14:paraId="6C990150" w14:textId="77777777" w:rsidR="00047E8A" w:rsidRDefault="00000000">
      <w:pPr>
        <w:pStyle w:val="Heading2"/>
        <w:spacing w:after="120"/>
      </w:pPr>
      <w:r>
        <w:rPr>
          <w:color w:val="333333"/>
        </w:rPr>
        <w:t>THE SOLO STRATEGIST TACTICAL VIEW</w:t>
      </w:r>
    </w:p>
    <w:p w14:paraId="44D45C70" w14:textId="77777777" w:rsidR="00047E8A" w:rsidRDefault="00000000">
      <w:pPr>
        <w:spacing w:after="160"/>
      </w:pPr>
      <w:r>
        <w:rPr>
          <w:color w:val="333333"/>
        </w:rPr>
        <w:t>At approximately $4,917, gold offers a 24% margin to our base-case target of $6,100. Any pullback below $4,800 represents a Strong Buy entry. Periods of speculative unwinds, margin-driven corrections, or geopolitical ‘resolution’ narratives are accumulation opportunities for the disciplined, long-term allocator.</w:t>
      </w:r>
    </w:p>
    <w:p w14:paraId="21EB10A0" w14:textId="77777777" w:rsidR="00047E8A" w:rsidRDefault="00047E8A">
      <w:pPr>
        <w:spacing w:after="200"/>
      </w:pPr>
    </w:p>
    <w:p w14:paraId="51E99F18" w14:textId="77777777" w:rsidR="00047E8A" w:rsidRDefault="00000000">
      <w:pPr>
        <w:jc w:val="center"/>
      </w:pPr>
      <w:r>
        <w:rPr>
          <w:noProof/>
        </w:rPr>
        <w:drawing>
          <wp:inline distT="0" distB="0" distL="0" distR="0" wp14:anchorId="4A00CDE7" wp14:editId="1BE7EBBE">
            <wp:extent cx="4381500" cy="800100"/>
            <wp:effectExtent l="0" t="0" r="0" b="0"/>
            <wp:docPr id="1051685359" name="/home/claude/charts/07_closure.png" descr="/home/claude/charts/07_closure.png" title="/home/claude/charts/07_clo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800100"/>
                    </a:xfrm>
                    <a:prstGeom prst="rect">
                      <a:avLst/>
                    </a:prstGeom>
                  </pic:spPr>
                </pic:pic>
              </a:graphicData>
            </a:graphic>
          </wp:inline>
        </w:drawing>
      </w:r>
    </w:p>
    <w:p w14:paraId="0A8934D0" w14:textId="77777777" w:rsidR="00047E8A" w:rsidRDefault="00047E8A">
      <w:pPr>
        <w:spacing w:after="100"/>
      </w:pPr>
    </w:p>
    <w:p w14:paraId="4CBBC1EA" w14:textId="77777777" w:rsidR="00047E8A" w:rsidRDefault="00000000">
      <w:pPr>
        <w:spacing w:after="40"/>
      </w:pPr>
      <w:r>
        <w:rPr>
          <w:i/>
          <w:iCs/>
          <w:color w:val="999999"/>
          <w:sz w:val="18"/>
          <w:szCs w:val="18"/>
        </w:rPr>
        <w:t>Disclaimer: This analysis is for informational purposes only and does not constitute investment advice. All data sourced from World Gold Council, IMF, Federal Reserve, LBMA, Reuters, and institutional research notes. Gold price data as of February 18, 2026.</w:t>
      </w:r>
    </w:p>
    <w:p w14:paraId="5A0B0A3E" w14:textId="05FFCB02" w:rsidR="00047E8A" w:rsidRDefault="00000000">
      <w:pPr>
        <w:spacing w:after="160"/>
      </w:pPr>
      <w:r>
        <w:rPr>
          <w:i/>
          <w:iCs/>
          <w:color w:val="999999"/>
          <w:sz w:val="18"/>
          <w:szCs w:val="18"/>
        </w:rPr>
        <w:t xml:space="preserve">Interested in a complementary analysis of gold mining equities or silver to pair with this macro thesis? Let us know if you would like a similar </w:t>
      </w:r>
      <w:r w:rsidR="005540EC">
        <w:rPr>
          <w:i/>
          <w:iCs/>
          <w:color w:val="999999"/>
          <w:sz w:val="18"/>
          <w:szCs w:val="18"/>
        </w:rPr>
        <w:t>deep dive</w:t>
      </w:r>
      <w:r>
        <w:rPr>
          <w:i/>
          <w:iCs/>
          <w:color w:val="999999"/>
          <w:sz w:val="18"/>
          <w:szCs w:val="18"/>
        </w:rPr>
        <w:t xml:space="preserve"> on producers like Barrick Gold, Newmont, or Agnico Eagle.</w:t>
      </w:r>
    </w:p>
    <w:sectPr w:rsidR="00047E8A">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3EBA8" w14:textId="77777777" w:rsidR="0038282F" w:rsidRDefault="0038282F">
      <w:r>
        <w:separator/>
      </w:r>
    </w:p>
  </w:endnote>
  <w:endnote w:type="continuationSeparator" w:id="0">
    <w:p w14:paraId="4FF9AA44" w14:textId="77777777" w:rsidR="0038282F" w:rsidRDefault="00382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3795" w14:textId="77777777" w:rsidR="00047E8A" w:rsidRDefault="00000000">
    <w:pPr>
      <w:pBdr>
        <w:top w:val="single" w:sz="2" w:space="4" w:color="CCCCCC"/>
      </w:pBdr>
      <w:tabs>
        <w:tab w:val="right" w:pos="9026"/>
      </w:tabs>
    </w:pPr>
    <w:r>
      <w:rPr>
        <w:color w:val="999999"/>
        <w:sz w:val="14"/>
        <w:szCs w:val="14"/>
      </w:rPr>
      <w:t>For informational purposes only. Not investment advice.</w:t>
    </w:r>
    <w:r>
      <w:rPr>
        <w:color w:val="999999"/>
        <w:sz w:val="14"/>
        <w:szCs w:val="14"/>
      </w:rPr>
      <w:tab/>
      <w:t xml:space="preserve">Page </w:t>
    </w:r>
    <w:r>
      <w:rPr>
        <w:color w:val="999999"/>
        <w:sz w:val="14"/>
        <w:szCs w:val="14"/>
      </w:rPr>
      <w:fldChar w:fldCharType="begin"/>
    </w:r>
    <w:r>
      <w:rPr>
        <w:color w:val="999999"/>
        <w:sz w:val="14"/>
        <w:szCs w:val="14"/>
      </w:rPr>
      <w:instrText>PAGE</w:instrText>
    </w:r>
    <w:r>
      <w:rPr>
        <w:color w:val="999999"/>
        <w:sz w:val="14"/>
        <w:szCs w:val="14"/>
      </w:rPr>
      <w:fldChar w:fldCharType="separate"/>
    </w:r>
    <w:r w:rsidR="00604946">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5334D" w14:textId="77777777" w:rsidR="0038282F" w:rsidRDefault="0038282F">
      <w:r>
        <w:separator/>
      </w:r>
    </w:p>
  </w:footnote>
  <w:footnote w:type="continuationSeparator" w:id="0">
    <w:p w14:paraId="703FC31D" w14:textId="77777777" w:rsidR="0038282F" w:rsidRDefault="0038282F">
      <w:r>
        <w:continuationSeparator/>
      </w:r>
    </w:p>
  </w:footnote>
  <w:footnote w:id="1">
    <w:p w14:paraId="1FD7A5B8" w14:textId="77777777" w:rsidR="00047E8A" w:rsidRDefault="00000000">
      <w:r>
        <w:rPr>
          <w:rStyle w:val="FootnoteReference"/>
        </w:rPr>
        <w:footnoteRef/>
      </w:r>
      <w:r>
        <w:rPr>
          <w:sz w:val="16"/>
          <w:szCs w:val="16"/>
        </w:rPr>
        <w:t>Source: Wells Fargo Investment Institute note, 4 February 2026. Previous target $4,500–$4,700.</w:t>
      </w:r>
    </w:p>
  </w:footnote>
  <w:footnote w:id="2">
    <w:p w14:paraId="2EFD3D17" w14:textId="77777777" w:rsidR="00047E8A" w:rsidRDefault="00000000">
      <w:r>
        <w:rPr>
          <w:rStyle w:val="FootnoteReference"/>
        </w:rPr>
        <w:footnoteRef/>
      </w:r>
      <w:r>
        <w:rPr>
          <w:sz w:val="16"/>
          <w:szCs w:val="16"/>
        </w:rPr>
        <w:t>Source: World Gold Council Central Bank Gold Reserves Survey 2025; 95% of central banks surveyed expect global gold reserves to increase.</w:t>
      </w:r>
    </w:p>
  </w:footnote>
  <w:footnote w:id="3">
    <w:p w14:paraId="441D6C81" w14:textId="77777777" w:rsidR="00047E8A" w:rsidRDefault="00000000">
      <w:r>
        <w:rPr>
          <w:rStyle w:val="FootnoteReference"/>
        </w:rPr>
        <w:footnoteRef/>
      </w:r>
      <w:r>
        <w:rPr>
          <w:sz w:val="16"/>
          <w:szCs w:val="16"/>
        </w:rPr>
        <w:t>Source: IMF COFER data, World Gold Council Annual Survey 2025. USD share of global reserves at 56.3% as of Q2 2025, a 30-year low.</w:t>
      </w:r>
    </w:p>
  </w:footnote>
  <w:footnote w:id="4">
    <w:p w14:paraId="37D85FD7" w14:textId="77777777" w:rsidR="00047E8A" w:rsidRDefault="00000000">
      <w:r>
        <w:rPr>
          <w:rStyle w:val="FootnoteReference"/>
        </w:rPr>
        <w:footnoteRef/>
      </w:r>
      <w:r>
        <w:rPr>
          <w:sz w:val="16"/>
          <w:szCs w:val="16"/>
        </w:rPr>
        <w:t>Source: World Gold Council, Gold Demand Trends Full Year 2025. Total demand of 5,002 tonnes, total supply 5,002 tonnes. Investment demand +84% YoY.</w:t>
      </w:r>
    </w:p>
  </w:footnote>
  <w:footnote w:id="5">
    <w:p w14:paraId="02E17FD2" w14:textId="77777777" w:rsidR="00047E8A" w:rsidRDefault="00000000">
      <w:r>
        <w:rPr>
          <w:rStyle w:val="FootnoteReference"/>
        </w:rPr>
        <w:footnoteRef/>
      </w:r>
      <w:r>
        <w:rPr>
          <w:sz w:val="16"/>
          <w:szCs w:val="16"/>
        </w:rPr>
        <w:t>Source: FRED M2SL, Federal Reserve H.6 release. M2 reached $22.4T in December 2025 vs $15.4T in January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4046" w14:textId="3B387A17" w:rsidR="00047E8A" w:rsidRDefault="00604946" w:rsidP="00604946">
    <w:pPr>
      <w:pBdr>
        <w:bottom w:val="single" w:sz="2" w:space="6" w:color="D5D8DC"/>
      </w:pBdr>
      <w:tabs>
        <w:tab w:val="right" w:pos="9026"/>
      </w:tabs>
    </w:pPr>
    <w:r>
      <w:rPr>
        <w:rFonts w:ascii="Calibri" w:eastAsia="Calibri" w:hAnsi="Calibri" w:cs="Calibri"/>
        <w:b/>
        <w:bCs/>
        <w:color w:val="BDC3C7"/>
        <w:spacing w:val="120"/>
        <w:sz w:val="14"/>
        <w:szCs w:val="14"/>
      </w:rPr>
      <w:t>SOLO STRATEGIST</w:t>
    </w:r>
    <w:r>
      <w:rPr>
        <w:rFonts w:ascii="Calibri" w:eastAsia="Calibri" w:hAnsi="Calibri" w:cs="Calibri"/>
        <w:i/>
        <w:iCs/>
        <w:color w:val="BDC3C7"/>
        <w:sz w:val="14"/>
        <w:szCs w:val="14"/>
      </w:rPr>
      <w:tab/>
      <w:t>GOLD: The Sovereign Survival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3445F"/>
    <w:multiLevelType w:val="hybridMultilevel"/>
    <w:tmpl w:val="B85C509A"/>
    <w:lvl w:ilvl="0" w:tplc="8BE8B420">
      <w:start w:val="1"/>
      <w:numFmt w:val="bullet"/>
      <w:lvlText w:val="●"/>
      <w:lvlJc w:val="left"/>
      <w:pPr>
        <w:ind w:left="720" w:hanging="360"/>
      </w:pPr>
    </w:lvl>
    <w:lvl w:ilvl="1" w:tplc="CE620866">
      <w:start w:val="1"/>
      <w:numFmt w:val="bullet"/>
      <w:lvlText w:val="○"/>
      <w:lvlJc w:val="left"/>
      <w:pPr>
        <w:ind w:left="1440" w:hanging="360"/>
      </w:pPr>
    </w:lvl>
    <w:lvl w:ilvl="2" w:tplc="93989F2C">
      <w:start w:val="1"/>
      <w:numFmt w:val="bullet"/>
      <w:lvlText w:val="■"/>
      <w:lvlJc w:val="left"/>
      <w:pPr>
        <w:ind w:left="2160" w:hanging="360"/>
      </w:pPr>
    </w:lvl>
    <w:lvl w:ilvl="3" w:tplc="C6FA0C4A">
      <w:start w:val="1"/>
      <w:numFmt w:val="bullet"/>
      <w:lvlText w:val="●"/>
      <w:lvlJc w:val="left"/>
      <w:pPr>
        <w:ind w:left="2880" w:hanging="360"/>
      </w:pPr>
    </w:lvl>
    <w:lvl w:ilvl="4" w:tplc="E432DDA0">
      <w:start w:val="1"/>
      <w:numFmt w:val="bullet"/>
      <w:lvlText w:val="○"/>
      <w:lvlJc w:val="left"/>
      <w:pPr>
        <w:ind w:left="3600" w:hanging="360"/>
      </w:pPr>
    </w:lvl>
    <w:lvl w:ilvl="5" w:tplc="FF66B19C">
      <w:start w:val="1"/>
      <w:numFmt w:val="bullet"/>
      <w:lvlText w:val="■"/>
      <w:lvlJc w:val="left"/>
      <w:pPr>
        <w:ind w:left="4320" w:hanging="360"/>
      </w:pPr>
    </w:lvl>
    <w:lvl w:ilvl="6" w:tplc="3B6CF434">
      <w:start w:val="1"/>
      <w:numFmt w:val="bullet"/>
      <w:lvlText w:val="●"/>
      <w:lvlJc w:val="left"/>
      <w:pPr>
        <w:ind w:left="5040" w:hanging="360"/>
      </w:pPr>
    </w:lvl>
    <w:lvl w:ilvl="7" w:tplc="EE362410">
      <w:start w:val="1"/>
      <w:numFmt w:val="bullet"/>
      <w:lvlText w:val="●"/>
      <w:lvlJc w:val="left"/>
      <w:pPr>
        <w:ind w:left="5760" w:hanging="360"/>
      </w:pPr>
    </w:lvl>
    <w:lvl w:ilvl="8" w:tplc="BCC6A8BC">
      <w:start w:val="1"/>
      <w:numFmt w:val="bullet"/>
      <w:lvlText w:val="●"/>
      <w:lvlJc w:val="left"/>
      <w:pPr>
        <w:ind w:left="6480" w:hanging="360"/>
      </w:pPr>
    </w:lvl>
  </w:abstractNum>
  <w:abstractNum w:abstractNumId="1" w15:restartNumberingAfterBreak="0">
    <w:nsid w:val="7334505C"/>
    <w:multiLevelType w:val="hybridMultilevel"/>
    <w:tmpl w:val="623C1D4E"/>
    <w:lvl w:ilvl="0" w:tplc="BC185420">
      <w:start w:val="1"/>
      <w:numFmt w:val="bullet"/>
      <w:lvlText w:val="•"/>
      <w:lvlJc w:val="left"/>
      <w:pPr>
        <w:ind w:left="720" w:hanging="360"/>
      </w:pPr>
    </w:lvl>
    <w:lvl w:ilvl="1" w:tplc="C784C26E">
      <w:numFmt w:val="decimal"/>
      <w:lvlText w:val=""/>
      <w:lvlJc w:val="left"/>
    </w:lvl>
    <w:lvl w:ilvl="2" w:tplc="7AC2F320">
      <w:numFmt w:val="decimal"/>
      <w:lvlText w:val=""/>
      <w:lvlJc w:val="left"/>
    </w:lvl>
    <w:lvl w:ilvl="3" w:tplc="A27C07F0">
      <w:numFmt w:val="decimal"/>
      <w:lvlText w:val=""/>
      <w:lvlJc w:val="left"/>
    </w:lvl>
    <w:lvl w:ilvl="4" w:tplc="EC806B98">
      <w:numFmt w:val="decimal"/>
      <w:lvlText w:val=""/>
      <w:lvlJc w:val="left"/>
    </w:lvl>
    <w:lvl w:ilvl="5" w:tplc="00B20680">
      <w:numFmt w:val="decimal"/>
      <w:lvlText w:val=""/>
      <w:lvlJc w:val="left"/>
    </w:lvl>
    <w:lvl w:ilvl="6" w:tplc="BEB01272">
      <w:numFmt w:val="decimal"/>
      <w:lvlText w:val=""/>
      <w:lvlJc w:val="left"/>
    </w:lvl>
    <w:lvl w:ilvl="7" w:tplc="1F741030">
      <w:numFmt w:val="decimal"/>
      <w:lvlText w:val=""/>
      <w:lvlJc w:val="left"/>
    </w:lvl>
    <w:lvl w:ilvl="8" w:tplc="827EB9EE">
      <w:numFmt w:val="decimal"/>
      <w:lvlText w:val=""/>
      <w:lvlJc w:val="left"/>
    </w:lvl>
  </w:abstractNum>
  <w:num w:numId="1" w16cid:durableId="1703438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E8A"/>
    <w:rsid w:val="00047E8A"/>
    <w:rsid w:val="0038282F"/>
    <w:rsid w:val="003D3E55"/>
    <w:rsid w:val="004A0A01"/>
    <w:rsid w:val="005540EC"/>
    <w:rsid w:val="00604946"/>
    <w:rsid w:val="00837968"/>
    <w:rsid w:val="00AC11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57F227"/>
  <w15:docId w15:val="{E3CDF709-AEDB-E747-9985-580F4824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D4AF37"/>
      <w:sz w:val="36"/>
      <w:szCs w:val="36"/>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4946"/>
    <w:pPr>
      <w:tabs>
        <w:tab w:val="center" w:pos="4513"/>
        <w:tab w:val="right" w:pos="9026"/>
      </w:tabs>
    </w:pPr>
  </w:style>
  <w:style w:type="character" w:customStyle="1" w:styleId="HeaderChar">
    <w:name w:val="Header Char"/>
    <w:basedOn w:val="DefaultParagraphFont"/>
    <w:link w:val="Header"/>
    <w:uiPriority w:val="99"/>
    <w:rsid w:val="00604946"/>
  </w:style>
  <w:style w:type="paragraph" w:styleId="Footer">
    <w:name w:val="footer"/>
    <w:basedOn w:val="Normal"/>
    <w:link w:val="FooterChar"/>
    <w:uiPriority w:val="99"/>
    <w:unhideWhenUsed/>
    <w:rsid w:val="00604946"/>
    <w:pPr>
      <w:tabs>
        <w:tab w:val="center" w:pos="4513"/>
        <w:tab w:val="right" w:pos="9026"/>
      </w:tabs>
    </w:pPr>
  </w:style>
  <w:style w:type="character" w:customStyle="1" w:styleId="FooterChar">
    <w:name w:val="Footer Char"/>
    <w:basedOn w:val="DefaultParagraphFont"/>
    <w:link w:val="Footer"/>
    <w:uiPriority w:val="99"/>
    <w:rsid w:val="00604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2411</Words>
  <Characters>13746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Dean Mahmood</cp:lastModifiedBy>
  <cp:revision>2</cp:revision>
  <dcterms:created xsi:type="dcterms:W3CDTF">2026-02-18T16:58:00Z</dcterms:created>
  <dcterms:modified xsi:type="dcterms:W3CDTF">2026-02-18T16:58:00Z</dcterms:modified>
</cp:coreProperties>
</file>