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20B5B" w14:textId="77777777" w:rsidR="00E50131" w:rsidRDefault="00E50131">
      <w:pPr>
        <w:spacing w:before="200"/>
      </w:pPr>
    </w:p>
    <w:p w14:paraId="713A61BF" w14:textId="77777777" w:rsidR="00E50131" w:rsidRDefault="00000000">
      <w:pPr>
        <w:jc w:val="center"/>
      </w:pPr>
      <w:r>
        <w:rPr>
          <w:rFonts w:ascii="Calibri" w:eastAsia="Calibri" w:hAnsi="Calibri" w:cs="Calibri"/>
          <w:b/>
          <w:bCs/>
          <w:color w:val="7F8C8D"/>
          <w:spacing w:val="200"/>
          <w:sz w:val="18"/>
          <w:szCs w:val="18"/>
        </w:rPr>
        <w:t>SOLO STRATEGIST</w:t>
      </w:r>
    </w:p>
    <w:p w14:paraId="67C4C55C" w14:textId="77777777" w:rsidR="00E50131" w:rsidRDefault="00E50131">
      <w:pPr>
        <w:spacing w:before="100"/>
      </w:pPr>
    </w:p>
    <w:p w14:paraId="02D446B3" w14:textId="77777777" w:rsidR="00E50131" w:rsidRDefault="00000000">
      <w:pPr>
        <w:jc w:val="center"/>
      </w:pPr>
      <w:r>
        <w:rPr>
          <w:color w:val="1B4F72"/>
          <w:sz w:val="60"/>
          <w:szCs w:val="60"/>
        </w:rPr>
        <w:t>Alphabet</w:t>
      </w:r>
    </w:p>
    <w:p w14:paraId="24A8E033" w14:textId="77777777" w:rsidR="00E50131" w:rsidRDefault="00000000">
      <w:pPr>
        <w:spacing w:after="40"/>
        <w:jc w:val="center"/>
      </w:pPr>
      <w:r>
        <w:rPr>
          <w:i/>
          <w:iCs/>
          <w:color w:val="2874A6"/>
          <w:sz w:val="36"/>
          <w:szCs w:val="36"/>
        </w:rPr>
        <w:t>The Compounding Intelligence Engine</w:t>
      </w:r>
    </w:p>
    <w:p w14:paraId="7DADCD95" w14:textId="77777777" w:rsidR="00E50131" w:rsidRDefault="00000000">
      <w:pPr>
        <w:spacing w:before="80" w:after="80"/>
        <w:jc w:val="center"/>
      </w:pPr>
      <w:r>
        <w:rPr>
          <w:rFonts w:ascii="Consolas" w:eastAsia="Consolas" w:hAnsi="Consolas" w:cs="Consolas"/>
          <w:color w:val="BDC3C7"/>
          <w:sz w:val="14"/>
          <w:szCs w:val="14"/>
        </w:rPr>
        <w:t>────────────────────────────────────────</w:t>
      </w:r>
    </w:p>
    <w:p w14:paraId="0FB4C1CC" w14:textId="77777777" w:rsidR="00E50131" w:rsidRDefault="00000000">
      <w:pPr>
        <w:spacing w:after="60"/>
        <w:jc w:val="center"/>
      </w:pPr>
      <w:r>
        <w:rPr>
          <w:rFonts w:ascii="Calibri" w:eastAsia="Calibri" w:hAnsi="Calibri" w:cs="Calibri"/>
          <w:i/>
          <w:iCs/>
          <w:color w:val="7F8C8D"/>
        </w:rPr>
        <w:t>A Deep-Dive Case Study on AI-Era Infrastructure Value</w:t>
      </w:r>
    </w:p>
    <w:p w14:paraId="247B5B8B" w14:textId="046FCC6F" w:rsidR="00E50131" w:rsidRDefault="00000000">
      <w:pPr>
        <w:spacing w:after="200"/>
        <w:jc w:val="center"/>
      </w:pPr>
      <w:r>
        <w:rPr>
          <w:rFonts w:ascii="Calibri" w:eastAsia="Calibri" w:hAnsi="Calibri" w:cs="Calibri"/>
          <w:color w:val="BDC3C7"/>
          <w:sz w:val="18"/>
          <w:szCs w:val="18"/>
        </w:rPr>
        <w:t xml:space="preserve">February </w:t>
      </w:r>
      <w:r w:rsidR="001D744A">
        <w:rPr>
          <w:rFonts w:ascii="Calibri" w:eastAsia="Calibri" w:hAnsi="Calibri" w:cs="Calibri"/>
          <w:color w:val="BDC3C7"/>
          <w:sz w:val="18"/>
          <w:szCs w:val="18"/>
        </w:rPr>
        <w:t>16</w:t>
      </w:r>
      <w:r w:rsidR="001D744A" w:rsidRPr="001D744A">
        <w:rPr>
          <w:rFonts w:ascii="Calibri" w:eastAsia="Calibri" w:hAnsi="Calibri" w:cs="Calibri"/>
          <w:color w:val="BDC3C7"/>
          <w:sz w:val="18"/>
          <w:szCs w:val="18"/>
          <w:vertAlign w:val="superscript"/>
        </w:rPr>
        <w:t>th</w:t>
      </w:r>
      <w:r w:rsidR="001D744A">
        <w:rPr>
          <w:rFonts w:ascii="Calibri" w:eastAsia="Calibri" w:hAnsi="Calibri" w:cs="Calibri"/>
          <w:color w:val="BDC3C7"/>
          <w:sz w:val="18"/>
          <w:szCs w:val="18"/>
        </w:rPr>
        <w:t xml:space="preserve"> </w:t>
      </w:r>
      <w:r>
        <w:rPr>
          <w:rFonts w:ascii="Calibri" w:eastAsia="Calibri" w:hAnsi="Calibri" w:cs="Calibri"/>
          <w:color w:val="BDC3C7"/>
          <w:sz w:val="18"/>
          <w:szCs w:val="18"/>
        </w:rPr>
        <w:t>2026  |  NASDAQ: GOOGL</w:t>
      </w:r>
    </w:p>
    <w:p w14:paraId="2B73B252" w14:textId="77777777" w:rsidR="00E50131" w:rsidRDefault="00000000">
      <w:pPr>
        <w:spacing w:before="240" w:after="240"/>
        <w:jc w:val="center"/>
      </w:pPr>
      <w:r>
        <w:rPr>
          <w:noProof/>
        </w:rPr>
        <w:drawing>
          <wp:inline distT="0" distB="0" distL="0" distR="0" wp14:anchorId="088C4957" wp14:editId="08E64A1A">
            <wp:extent cx="5486400" cy="2190750"/>
            <wp:effectExtent l="0" t="0" r="0" b="0"/>
            <wp:docPr id="1" name="hero.png" descr="hero.png" title="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190750"/>
                    </a:xfrm>
                    <a:prstGeom prst="rect">
                      <a:avLst/>
                    </a:prstGeom>
                  </pic:spPr>
                </pic:pic>
              </a:graphicData>
            </a:graphic>
          </wp:inline>
        </w:drawing>
      </w:r>
    </w:p>
    <w:p w14:paraId="108CD0EE" w14:textId="77777777" w:rsidR="00E50131" w:rsidRDefault="00000000">
      <w:pPr>
        <w:spacing w:before="80" w:after="80" w:line="312" w:lineRule="auto"/>
      </w:pPr>
      <w:r>
        <w:t>Alphabet is not merely the world’s dominant search company. It is a vertically integrated intelligence utility, operating across the full spectrum of computational infrastructure: from the physical layer of data centres and custom silicon, through the platform layer of cloud services and AI models, to the application layer of autonomous mobility and quantum research. At approximately $306 per share and a market capitalisation of $3.7 trillion, the equity presents a compelling case for long-term allocators prepared to look past near-term capital expenditure concerns.</w:t>
      </w:r>
    </w:p>
    <w:p w14:paraId="0537E579" w14:textId="77777777" w:rsidR="00E50131" w:rsidRDefault="00000000">
      <w:pPr>
        <w:pBdr>
          <w:bottom w:val="single" w:sz="6" w:space="4" w:color="2874A6"/>
        </w:pBdr>
        <w:spacing w:before="400" w:after="100"/>
      </w:pPr>
      <w:r>
        <w:rPr>
          <w:rFonts w:ascii="Calibri" w:eastAsia="Calibri" w:hAnsi="Calibri" w:cs="Calibri"/>
          <w:b/>
          <w:bCs/>
          <w:color w:val="1B4F72"/>
          <w:spacing w:val="60"/>
          <w:sz w:val="28"/>
          <w:szCs w:val="28"/>
        </w:rPr>
        <w:t>I. THE INVESTMENT THESIS: TEMPORARY NOISE, PERMANENT VALUE</w:t>
      </w:r>
    </w:p>
    <w:p w14:paraId="4C6B1079" w14:textId="77777777" w:rsidR="00E50131" w:rsidRDefault="00000000">
      <w:pPr>
        <w:spacing w:before="80" w:after="80" w:line="312" w:lineRule="auto"/>
      </w:pPr>
      <w:r>
        <w:t xml:space="preserve">In the days following Alphabet’s Q4 2025 earnings release on 4 February 2026, shares fell approximately 6% despite the company delivering record results across every major metric. The catalyst for the sell-off was a single data point: projected 2026 capital expenditure of $175–$185 billion, nearly double the $91.5 billion spent in 2025, and significantly above consensus expectations of ~$120 billion. This pattern is now familiar to students of </w:t>
      </w:r>
      <w:proofErr w:type="spellStart"/>
      <w:r>
        <w:t>hyperscaler</w:t>
      </w:r>
      <w:proofErr w:type="spellEnd"/>
      <w:r>
        <w:t xml:space="preserve"> capital cycles.</w:t>
      </w:r>
    </w:p>
    <w:p w14:paraId="4263D0AB" w14:textId="77777777" w:rsidR="00E50131" w:rsidRDefault="00000000">
      <w:pPr>
        <w:spacing w:before="280" w:after="80"/>
      </w:pPr>
      <w:r>
        <w:rPr>
          <w:rFonts w:ascii="Calibri" w:eastAsia="Calibri" w:hAnsi="Calibri" w:cs="Calibri"/>
          <w:b/>
          <w:bCs/>
          <w:color w:val="2874A6"/>
          <w:sz w:val="24"/>
          <w:szCs w:val="24"/>
        </w:rPr>
        <w:lastRenderedPageBreak/>
        <w:t>Bearish Concerns and Our Rebuttal</w:t>
      </w:r>
    </w:p>
    <w:p w14:paraId="0A48FA61" w14:textId="77777777" w:rsidR="00E50131" w:rsidRDefault="00000000">
      <w:pPr>
        <w:spacing w:before="80" w:after="80" w:line="312" w:lineRule="auto"/>
      </w:pPr>
      <w:r>
        <w:rPr>
          <w:b/>
          <w:bCs/>
        </w:rPr>
        <w:t xml:space="preserve">Concern 1: </w:t>
      </w:r>
      <w:proofErr w:type="spellStart"/>
      <w:r>
        <w:rPr>
          <w:b/>
          <w:bCs/>
        </w:rPr>
        <w:t>CapEx</w:t>
      </w:r>
      <w:proofErr w:type="spellEnd"/>
      <w:r>
        <w:rPr>
          <w:b/>
          <w:bCs/>
        </w:rPr>
        <w:t xml:space="preserve"> is unsustainable and will destroy free cash flow.</w:t>
      </w:r>
    </w:p>
    <w:p w14:paraId="2CBA0EF1" w14:textId="77777777" w:rsidR="00E50131" w:rsidRDefault="00000000">
      <w:pPr>
        <w:spacing w:before="80" w:after="80" w:line="312" w:lineRule="auto"/>
      </w:pPr>
      <w:r>
        <w:t>Alphabet generated $73.3 billion in free cash flow for the full year 2025 and $164.7 billion in operating cash flow. The company ended Q4 with $126.8 billion in cash and marketable securities. Furthermore, Alphabet raised $24.8 billion via senior unsecured notes in November 2025 and a further $20 billion in February 2026, demonstrating the bond market’s confidence in its creditworthiness. This is a company that can comfortably fund its ambitions without diluting shareholders.</w:t>
      </w:r>
    </w:p>
    <w:p w14:paraId="78DBF3C3" w14:textId="77777777" w:rsidR="00E50131" w:rsidRDefault="00000000">
      <w:pPr>
        <w:spacing w:before="80" w:after="80" w:line="312" w:lineRule="auto"/>
      </w:pPr>
      <w:r>
        <w:rPr>
          <w:b/>
          <w:bCs/>
        </w:rPr>
        <w:t>Concern 2: Antitrust rulings will dismantle the ecosystem.</w:t>
      </w:r>
    </w:p>
    <w:p w14:paraId="2923733B" w14:textId="77777777" w:rsidR="00E50131" w:rsidRDefault="00000000">
      <w:pPr>
        <w:spacing w:before="80" w:after="80" w:line="312" w:lineRule="auto"/>
      </w:pPr>
      <w:r>
        <w:t>In September 2025, Judge Amit Mehta rejected the DOJ’s most severe proposed remedies, including the forced divestiture of Chrome and Android. The ruling imposed behavioural remedies, primarily banning exclusive default search contracts and requiring limited data sharing with competitors. Multiple legal commentators described it as a “best-case scenario” for Alphabet. Whilst the DOJ has filed an appeal, the structural integrity of Alphabet’s ecosystem remains intact. A separate ad-tech antitrust case is pending, but the search ruling sets a precedent of judicial restraint towards structural breakup.</w:t>
      </w:r>
    </w:p>
    <w:p w14:paraId="50086DC8" w14:textId="77777777" w:rsidR="00E50131" w:rsidRDefault="00000000">
      <w:pPr>
        <w:spacing w:before="80" w:after="80" w:line="312" w:lineRule="auto"/>
      </w:pPr>
      <w:r>
        <w:rPr>
          <w:b/>
          <w:bCs/>
        </w:rPr>
        <w:t>Concern 3: AI search will cannibalise advertising revenue.</w:t>
      </w:r>
    </w:p>
    <w:p w14:paraId="6E687934" w14:textId="77777777" w:rsidR="00E50131" w:rsidRDefault="00000000">
      <w:pPr>
        <w:spacing w:before="80" w:after="80" w:line="312" w:lineRule="auto"/>
      </w:pPr>
      <w:r>
        <w:t>The evidence suggests precisely the opposite. Google Search revenue accelerated to 17% year-on-year growth in Q4 2025, reaching $63.1 billion, whilst AI Overviews now serve 2 billion monthly users. CEO Sundar Pichai noted that “Search saw more usage than ever before, with AI continuing to drive an expansionary moment.” The company is actively monetising AI Mode through Direct Offers and ads below AI responses, creating new inventory rather than cannibalising existing inventory.</w:t>
      </w:r>
    </w:p>
    <w:p w14:paraId="38FEC125" w14:textId="77777777" w:rsidR="00E50131" w:rsidRDefault="00000000">
      <w:pPr>
        <w:pBdr>
          <w:bottom w:val="single" w:sz="6" w:space="4" w:color="2874A6"/>
        </w:pBdr>
        <w:spacing w:before="400" w:after="100"/>
      </w:pPr>
      <w:r>
        <w:rPr>
          <w:rFonts w:ascii="Calibri" w:eastAsia="Calibri" w:hAnsi="Calibri" w:cs="Calibri"/>
          <w:b/>
          <w:bCs/>
          <w:color w:val="1B4F72"/>
          <w:spacing w:val="60"/>
          <w:sz w:val="28"/>
          <w:szCs w:val="28"/>
        </w:rPr>
        <w:t>II. QUANTITATIVE ANALYSIS: RECORD-BREAKING FUNDAMENTALS</w:t>
      </w:r>
    </w:p>
    <w:p w14:paraId="204468A8" w14:textId="77777777" w:rsidR="00E50131" w:rsidRDefault="00000000">
      <w:pPr>
        <w:spacing w:before="240" w:after="40"/>
        <w:jc w:val="center"/>
      </w:pPr>
      <w:r>
        <w:rPr>
          <w:noProof/>
        </w:rPr>
        <w:lastRenderedPageBreak/>
        <w:drawing>
          <wp:inline distT="0" distB="0" distL="0" distR="0" wp14:anchorId="05B58377" wp14:editId="1F8132AA">
            <wp:extent cx="5210175" cy="2714625"/>
            <wp:effectExtent l="0" t="0" r="0" b="0"/>
            <wp:docPr id="1738330720" name="revenue.png" descr="Figure 1: Alphabet Q4 2025 Revenue Composition and Key Financial Metrics" title="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2714625"/>
                    </a:xfrm>
                    <a:prstGeom prst="rect">
                      <a:avLst/>
                    </a:prstGeom>
                  </pic:spPr>
                </pic:pic>
              </a:graphicData>
            </a:graphic>
          </wp:inline>
        </w:drawing>
      </w:r>
    </w:p>
    <w:p w14:paraId="7B6FC20E" w14:textId="77777777" w:rsidR="00E50131" w:rsidRDefault="00000000">
      <w:pPr>
        <w:spacing w:after="200"/>
        <w:jc w:val="center"/>
      </w:pPr>
      <w:r>
        <w:rPr>
          <w:rFonts w:ascii="Calibri" w:eastAsia="Calibri" w:hAnsi="Calibri" w:cs="Calibri"/>
          <w:i/>
          <w:iCs/>
          <w:color w:val="7F8C8D"/>
          <w:sz w:val="17"/>
          <w:szCs w:val="17"/>
        </w:rPr>
        <w:t>Figure 1: Alphabet Q4 2025 Revenue Composition and Key Financial Metrics</w:t>
      </w:r>
    </w:p>
    <w:p w14:paraId="097488CD" w14:textId="77777777" w:rsidR="00E50131" w:rsidRDefault="00000000">
      <w:pPr>
        <w:spacing w:before="280" w:after="80"/>
      </w:pPr>
      <w:r>
        <w:rPr>
          <w:rFonts w:ascii="Calibri" w:eastAsia="Calibri" w:hAnsi="Calibri" w:cs="Calibri"/>
          <w:b/>
          <w:bCs/>
          <w:color w:val="2874A6"/>
          <w:sz w:val="24"/>
          <w:szCs w:val="24"/>
        </w:rPr>
        <w:t>Revenue Trajectory</w:t>
      </w:r>
    </w:p>
    <w:p w14:paraId="56B0E1BC" w14:textId="77777777" w:rsidR="00E50131" w:rsidRDefault="00000000">
      <w:pPr>
        <w:spacing w:before="80" w:after="80" w:line="312" w:lineRule="auto"/>
      </w:pPr>
      <w:r>
        <w:t>Alphabet’s consolidated revenue reached $113.8 billion in Q4 2025, an 18% increase year-on-year and an acceleration from 16% in Q3. For the full year, revenue crossed $400 billion for the first time, reaching $402.8 billion. Every major segment contributed: Google Search grew 17%, Google Cloud surged 48%, YouTube’s combined advertising and subscription revenue exceeded $60 billion annually, and consumer paid subscriptions surpassed 325 million across Google One, YouTube Premium, and related services.</w:t>
      </w:r>
    </w:p>
    <w:p w14:paraId="5AD0CB27" w14:textId="77777777" w:rsidR="00E50131" w:rsidRDefault="00000000">
      <w:pPr>
        <w:spacing w:before="280" w:after="80"/>
      </w:pPr>
      <w:r>
        <w:rPr>
          <w:rFonts w:ascii="Calibri" w:eastAsia="Calibri" w:hAnsi="Calibri" w:cs="Calibri"/>
          <w:b/>
          <w:bCs/>
          <w:color w:val="2874A6"/>
          <w:sz w:val="24"/>
          <w:szCs w:val="24"/>
        </w:rPr>
        <w:t>Profitability and Capital Efficiency</w:t>
      </w:r>
    </w:p>
    <w:p w14:paraId="170E798D" w14:textId="77777777" w:rsidR="00E50131" w:rsidRDefault="00000000">
      <w:pPr>
        <w:spacing w:before="80" w:after="80" w:line="312" w:lineRule="auto"/>
      </w:pPr>
      <w:r>
        <w:t>Net income for Q4 reached $34.5 billion, up 30% year-on-year, with diluted EPS of $2.82 against consensus estimates of $2.63. Operating margin held steady at 31.6%, with Google Services achieving an impressive 41.9% operating margin, up from 39.0% a year prior. Crucially, Gemini serving unit costs fell 78% over 2025 through model optimisations and efficiency improvements, demonstrating that AI costs are declining on a per-unit basis even as absolute spending increases.</w:t>
      </w:r>
    </w:p>
    <w:p w14:paraId="2159DCA8" w14:textId="77777777" w:rsidR="00E50131" w:rsidRDefault="00E50131">
      <w:pPr>
        <w:spacing w:before="1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240"/>
      </w:tblGrid>
      <w:tr w:rsidR="00E50131" w14:paraId="4555430D" w14:textId="77777777" w:rsidTr="000B2E1E">
        <w:trPr>
          <w:tblHeader/>
        </w:trPr>
        <w:tc>
          <w:tcPr>
            <w:tcW w:w="2800" w:type="dxa"/>
            <w:tcBorders>
              <w:top w:val="nil"/>
              <w:left w:val="nil"/>
              <w:bottom w:val="nil"/>
              <w:right w:val="nil"/>
            </w:tcBorders>
            <w:shd w:val="clear" w:color="auto" w:fill="1B4F72"/>
            <w:tcMar>
              <w:top w:w="70" w:type="dxa"/>
              <w:left w:w="160" w:type="dxa"/>
              <w:bottom w:w="70" w:type="dxa"/>
              <w:right w:w="100" w:type="dxa"/>
            </w:tcMar>
          </w:tcPr>
          <w:p w14:paraId="0F72E8FC" w14:textId="77777777" w:rsidR="00E50131" w:rsidRDefault="00000000">
            <w:r>
              <w:rPr>
                <w:rFonts w:ascii="Calibri" w:eastAsia="Calibri" w:hAnsi="Calibri" w:cs="Calibri"/>
                <w:b/>
                <w:bCs/>
                <w:color w:val="FFFFFF"/>
                <w:sz w:val="18"/>
                <w:szCs w:val="18"/>
              </w:rPr>
              <w:t>Metric</w:t>
            </w:r>
          </w:p>
        </w:tc>
        <w:tc>
          <w:tcPr>
            <w:tcW w:w="1800" w:type="dxa"/>
            <w:tcBorders>
              <w:top w:val="nil"/>
              <w:left w:val="nil"/>
              <w:bottom w:val="nil"/>
              <w:right w:val="nil"/>
            </w:tcBorders>
            <w:shd w:val="clear" w:color="auto" w:fill="1B4F72"/>
            <w:tcMar>
              <w:top w:w="70" w:type="dxa"/>
              <w:left w:w="100" w:type="dxa"/>
              <w:bottom w:w="70" w:type="dxa"/>
              <w:right w:w="100" w:type="dxa"/>
            </w:tcMar>
          </w:tcPr>
          <w:p w14:paraId="4660B7C1" w14:textId="77777777" w:rsidR="00E50131" w:rsidRDefault="00000000">
            <w:pPr>
              <w:jc w:val="right"/>
            </w:pPr>
            <w:r>
              <w:rPr>
                <w:rFonts w:ascii="Calibri" w:eastAsia="Calibri" w:hAnsi="Calibri" w:cs="Calibri"/>
                <w:b/>
                <w:bCs/>
                <w:color w:val="FFFFFF"/>
                <w:sz w:val="18"/>
                <w:szCs w:val="18"/>
              </w:rPr>
              <w:t>Q4 2025</w:t>
            </w:r>
          </w:p>
        </w:tc>
        <w:tc>
          <w:tcPr>
            <w:tcW w:w="1800" w:type="dxa"/>
            <w:tcBorders>
              <w:top w:val="nil"/>
              <w:left w:val="nil"/>
              <w:bottom w:val="nil"/>
              <w:right w:val="nil"/>
            </w:tcBorders>
            <w:shd w:val="clear" w:color="auto" w:fill="1B4F72"/>
            <w:tcMar>
              <w:top w:w="70" w:type="dxa"/>
              <w:left w:w="100" w:type="dxa"/>
              <w:bottom w:w="70" w:type="dxa"/>
              <w:right w:w="100" w:type="dxa"/>
            </w:tcMar>
          </w:tcPr>
          <w:p w14:paraId="07764766" w14:textId="77777777" w:rsidR="00E50131" w:rsidRDefault="00000000">
            <w:pPr>
              <w:jc w:val="right"/>
            </w:pPr>
            <w:r>
              <w:rPr>
                <w:rFonts w:ascii="Calibri" w:eastAsia="Calibri" w:hAnsi="Calibri" w:cs="Calibri"/>
                <w:b/>
                <w:bCs/>
                <w:color w:val="FFFFFF"/>
                <w:sz w:val="18"/>
                <w:szCs w:val="18"/>
              </w:rPr>
              <w:t>Q4 2024</w:t>
            </w:r>
          </w:p>
        </w:tc>
        <w:tc>
          <w:tcPr>
            <w:tcW w:w="2240" w:type="dxa"/>
            <w:tcBorders>
              <w:top w:val="nil"/>
              <w:left w:val="nil"/>
              <w:bottom w:val="nil"/>
              <w:right w:val="nil"/>
            </w:tcBorders>
            <w:shd w:val="clear" w:color="auto" w:fill="1B4F72"/>
            <w:tcMar>
              <w:top w:w="70" w:type="dxa"/>
              <w:left w:w="100" w:type="dxa"/>
              <w:bottom w:w="70" w:type="dxa"/>
              <w:right w:w="100" w:type="dxa"/>
            </w:tcMar>
          </w:tcPr>
          <w:p w14:paraId="5F9DD730" w14:textId="77777777" w:rsidR="00E50131" w:rsidRDefault="00000000">
            <w:pPr>
              <w:jc w:val="right"/>
            </w:pPr>
            <w:r>
              <w:rPr>
                <w:rFonts w:ascii="Calibri" w:eastAsia="Calibri" w:hAnsi="Calibri" w:cs="Calibri"/>
                <w:b/>
                <w:bCs/>
                <w:color w:val="FFFFFF"/>
                <w:sz w:val="18"/>
                <w:szCs w:val="18"/>
              </w:rPr>
              <w:t>YoY Change</w:t>
            </w:r>
          </w:p>
        </w:tc>
      </w:tr>
      <w:tr w:rsidR="00E50131" w14:paraId="283C2E92" w14:textId="77777777" w:rsidTr="000B2E1E">
        <w:tc>
          <w:tcPr>
            <w:tcW w:w="2800" w:type="dxa"/>
            <w:tcBorders>
              <w:top w:val="nil"/>
              <w:left w:val="nil"/>
              <w:bottom w:val="nil"/>
              <w:right w:val="nil"/>
            </w:tcBorders>
            <w:shd w:val="clear" w:color="auto" w:fill="F7F9FB"/>
            <w:tcMar>
              <w:top w:w="50" w:type="dxa"/>
              <w:left w:w="160" w:type="dxa"/>
              <w:bottom w:w="50" w:type="dxa"/>
              <w:right w:w="100" w:type="dxa"/>
            </w:tcMar>
          </w:tcPr>
          <w:p w14:paraId="72FA11CD" w14:textId="77777777" w:rsidR="00E50131" w:rsidRDefault="00000000">
            <w:pPr>
              <w:spacing w:before="20" w:after="20"/>
            </w:pPr>
            <w:r>
              <w:rPr>
                <w:rFonts w:ascii="Calibri" w:eastAsia="Calibri" w:hAnsi="Calibri" w:cs="Calibri"/>
                <w:b/>
                <w:bCs/>
                <w:color w:val="2C3E50"/>
                <w:sz w:val="18"/>
                <w:szCs w:val="18"/>
              </w:rPr>
              <w:t>Total Revenue</w:t>
            </w:r>
          </w:p>
        </w:tc>
        <w:tc>
          <w:tcPr>
            <w:tcW w:w="1800" w:type="dxa"/>
            <w:tcBorders>
              <w:top w:val="nil"/>
              <w:left w:val="nil"/>
              <w:bottom w:val="nil"/>
              <w:right w:val="nil"/>
            </w:tcBorders>
            <w:shd w:val="clear" w:color="auto" w:fill="F7F9FB"/>
            <w:tcMar>
              <w:top w:w="50" w:type="dxa"/>
              <w:left w:w="100" w:type="dxa"/>
              <w:bottom w:w="50" w:type="dxa"/>
              <w:right w:w="100" w:type="dxa"/>
            </w:tcMar>
          </w:tcPr>
          <w:p w14:paraId="7E89DBA2" w14:textId="77777777" w:rsidR="00E50131" w:rsidRDefault="00000000">
            <w:pPr>
              <w:spacing w:before="20" w:after="20"/>
              <w:jc w:val="right"/>
            </w:pPr>
            <w:r>
              <w:rPr>
                <w:rFonts w:ascii="Calibri" w:eastAsia="Calibri" w:hAnsi="Calibri" w:cs="Calibri"/>
                <w:b/>
                <w:bCs/>
                <w:color w:val="2C3E50"/>
                <w:sz w:val="18"/>
                <w:szCs w:val="18"/>
              </w:rPr>
              <w:t>$113.8B</w:t>
            </w:r>
          </w:p>
        </w:tc>
        <w:tc>
          <w:tcPr>
            <w:tcW w:w="1800" w:type="dxa"/>
            <w:tcBorders>
              <w:top w:val="nil"/>
              <w:left w:val="nil"/>
              <w:bottom w:val="nil"/>
              <w:right w:val="nil"/>
            </w:tcBorders>
            <w:shd w:val="clear" w:color="auto" w:fill="F7F9FB"/>
            <w:tcMar>
              <w:top w:w="50" w:type="dxa"/>
              <w:left w:w="100" w:type="dxa"/>
              <w:bottom w:w="50" w:type="dxa"/>
              <w:right w:w="100" w:type="dxa"/>
            </w:tcMar>
          </w:tcPr>
          <w:p w14:paraId="09BBC0EE" w14:textId="77777777" w:rsidR="00E50131" w:rsidRDefault="00000000">
            <w:pPr>
              <w:spacing w:before="20" w:after="20"/>
              <w:jc w:val="right"/>
            </w:pPr>
            <w:r>
              <w:rPr>
                <w:rFonts w:ascii="Calibri" w:eastAsia="Calibri" w:hAnsi="Calibri" w:cs="Calibri"/>
                <w:b/>
                <w:bCs/>
                <w:color w:val="2C3E50"/>
                <w:sz w:val="18"/>
                <w:szCs w:val="18"/>
              </w:rPr>
              <w:t>$96.5B</w:t>
            </w:r>
          </w:p>
        </w:tc>
        <w:tc>
          <w:tcPr>
            <w:tcW w:w="2240" w:type="dxa"/>
            <w:tcBorders>
              <w:top w:val="nil"/>
              <w:left w:val="nil"/>
              <w:bottom w:val="nil"/>
              <w:right w:val="nil"/>
            </w:tcBorders>
            <w:shd w:val="clear" w:color="auto" w:fill="F7F9FB"/>
            <w:tcMar>
              <w:top w:w="50" w:type="dxa"/>
              <w:left w:w="100" w:type="dxa"/>
              <w:bottom w:w="50" w:type="dxa"/>
              <w:right w:w="100" w:type="dxa"/>
            </w:tcMar>
          </w:tcPr>
          <w:p w14:paraId="02E50D4F" w14:textId="77777777" w:rsidR="00E50131" w:rsidRDefault="00000000">
            <w:pPr>
              <w:spacing w:before="20" w:after="20"/>
              <w:jc w:val="right"/>
            </w:pPr>
            <w:r>
              <w:rPr>
                <w:rFonts w:ascii="Calibri" w:eastAsia="Calibri" w:hAnsi="Calibri" w:cs="Calibri"/>
                <w:b/>
                <w:bCs/>
                <w:color w:val="2C3E50"/>
                <w:sz w:val="18"/>
                <w:szCs w:val="18"/>
              </w:rPr>
              <w:t>+18%</w:t>
            </w:r>
          </w:p>
        </w:tc>
      </w:tr>
      <w:tr w:rsidR="00E50131" w14:paraId="22BB80A5" w14:textId="77777777" w:rsidTr="000B2E1E">
        <w:tc>
          <w:tcPr>
            <w:tcW w:w="2800" w:type="dxa"/>
            <w:tcBorders>
              <w:top w:val="nil"/>
              <w:left w:val="nil"/>
              <w:bottom w:val="nil"/>
              <w:right w:val="nil"/>
            </w:tcBorders>
            <w:shd w:val="clear" w:color="auto" w:fill="FFFFFF"/>
            <w:tcMar>
              <w:top w:w="50" w:type="dxa"/>
              <w:left w:w="160" w:type="dxa"/>
              <w:bottom w:w="50" w:type="dxa"/>
              <w:right w:w="100" w:type="dxa"/>
            </w:tcMar>
          </w:tcPr>
          <w:p w14:paraId="27D36A97" w14:textId="77777777" w:rsidR="00E50131" w:rsidRDefault="00000000">
            <w:pPr>
              <w:spacing w:before="20" w:after="20"/>
            </w:pPr>
            <w:r>
              <w:rPr>
                <w:rFonts w:ascii="Calibri" w:eastAsia="Calibri" w:hAnsi="Calibri" w:cs="Calibri"/>
                <w:b/>
                <w:bCs/>
                <w:color w:val="2C3E50"/>
                <w:sz w:val="18"/>
                <w:szCs w:val="18"/>
              </w:rPr>
              <w:t>Net Income</w:t>
            </w:r>
          </w:p>
        </w:tc>
        <w:tc>
          <w:tcPr>
            <w:tcW w:w="1800" w:type="dxa"/>
            <w:tcBorders>
              <w:top w:val="nil"/>
              <w:left w:val="nil"/>
              <w:bottom w:val="nil"/>
              <w:right w:val="nil"/>
            </w:tcBorders>
            <w:shd w:val="clear" w:color="auto" w:fill="FFFFFF"/>
            <w:tcMar>
              <w:top w:w="50" w:type="dxa"/>
              <w:left w:w="100" w:type="dxa"/>
              <w:bottom w:w="50" w:type="dxa"/>
              <w:right w:w="100" w:type="dxa"/>
            </w:tcMar>
          </w:tcPr>
          <w:p w14:paraId="74ACDB46" w14:textId="77777777" w:rsidR="00E50131" w:rsidRDefault="00000000">
            <w:pPr>
              <w:spacing w:before="20" w:after="20"/>
              <w:jc w:val="right"/>
            </w:pPr>
            <w:r>
              <w:rPr>
                <w:rFonts w:ascii="Calibri" w:eastAsia="Calibri" w:hAnsi="Calibri" w:cs="Calibri"/>
                <w:b/>
                <w:bCs/>
                <w:color w:val="2C3E50"/>
                <w:sz w:val="18"/>
                <w:szCs w:val="18"/>
              </w:rPr>
              <w:t>$34.5B</w:t>
            </w:r>
          </w:p>
        </w:tc>
        <w:tc>
          <w:tcPr>
            <w:tcW w:w="1800" w:type="dxa"/>
            <w:tcBorders>
              <w:top w:val="nil"/>
              <w:left w:val="nil"/>
              <w:bottom w:val="nil"/>
              <w:right w:val="nil"/>
            </w:tcBorders>
            <w:shd w:val="clear" w:color="auto" w:fill="FFFFFF"/>
            <w:tcMar>
              <w:top w:w="50" w:type="dxa"/>
              <w:left w:w="100" w:type="dxa"/>
              <w:bottom w:w="50" w:type="dxa"/>
              <w:right w:w="100" w:type="dxa"/>
            </w:tcMar>
          </w:tcPr>
          <w:p w14:paraId="26650404" w14:textId="77777777" w:rsidR="00E50131" w:rsidRDefault="00000000">
            <w:pPr>
              <w:spacing w:before="20" w:after="20"/>
              <w:jc w:val="right"/>
            </w:pPr>
            <w:r>
              <w:rPr>
                <w:rFonts w:ascii="Calibri" w:eastAsia="Calibri" w:hAnsi="Calibri" w:cs="Calibri"/>
                <w:b/>
                <w:bCs/>
                <w:color w:val="2C3E50"/>
                <w:sz w:val="18"/>
                <w:szCs w:val="18"/>
              </w:rPr>
              <w:t>$26.5B</w:t>
            </w:r>
          </w:p>
        </w:tc>
        <w:tc>
          <w:tcPr>
            <w:tcW w:w="2240" w:type="dxa"/>
            <w:tcBorders>
              <w:top w:val="nil"/>
              <w:left w:val="nil"/>
              <w:bottom w:val="nil"/>
              <w:right w:val="nil"/>
            </w:tcBorders>
            <w:shd w:val="clear" w:color="auto" w:fill="FFFFFF"/>
            <w:tcMar>
              <w:top w:w="50" w:type="dxa"/>
              <w:left w:w="100" w:type="dxa"/>
              <w:bottom w:w="50" w:type="dxa"/>
              <w:right w:w="100" w:type="dxa"/>
            </w:tcMar>
          </w:tcPr>
          <w:p w14:paraId="0C57E366" w14:textId="77777777" w:rsidR="00E50131" w:rsidRDefault="00000000">
            <w:pPr>
              <w:spacing w:before="20" w:after="20"/>
              <w:jc w:val="right"/>
            </w:pPr>
            <w:r>
              <w:rPr>
                <w:rFonts w:ascii="Calibri" w:eastAsia="Calibri" w:hAnsi="Calibri" w:cs="Calibri"/>
                <w:b/>
                <w:bCs/>
                <w:color w:val="2C3E50"/>
                <w:sz w:val="18"/>
                <w:szCs w:val="18"/>
              </w:rPr>
              <w:t>+30%</w:t>
            </w:r>
          </w:p>
        </w:tc>
      </w:tr>
      <w:tr w:rsidR="00E50131" w14:paraId="3A15868A" w14:textId="77777777" w:rsidTr="000B2E1E">
        <w:tc>
          <w:tcPr>
            <w:tcW w:w="2800" w:type="dxa"/>
            <w:tcBorders>
              <w:top w:val="nil"/>
              <w:left w:val="nil"/>
              <w:bottom w:val="nil"/>
              <w:right w:val="nil"/>
            </w:tcBorders>
            <w:shd w:val="clear" w:color="auto" w:fill="F7F9FB"/>
            <w:tcMar>
              <w:top w:w="50" w:type="dxa"/>
              <w:left w:w="160" w:type="dxa"/>
              <w:bottom w:w="50" w:type="dxa"/>
              <w:right w:w="100" w:type="dxa"/>
            </w:tcMar>
          </w:tcPr>
          <w:p w14:paraId="0E430373" w14:textId="77777777" w:rsidR="00E50131" w:rsidRDefault="00000000">
            <w:pPr>
              <w:spacing w:before="20" w:after="20"/>
            </w:pPr>
            <w:r>
              <w:rPr>
                <w:rFonts w:ascii="Calibri" w:eastAsia="Calibri" w:hAnsi="Calibri" w:cs="Calibri"/>
                <w:b/>
                <w:bCs/>
                <w:color w:val="2C3E50"/>
                <w:sz w:val="18"/>
                <w:szCs w:val="18"/>
              </w:rPr>
              <w:t>EPS (Diluted)</w:t>
            </w:r>
          </w:p>
        </w:tc>
        <w:tc>
          <w:tcPr>
            <w:tcW w:w="1800" w:type="dxa"/>
            <w:tcBorders>
              <w:top w:val="nil"/>
              <w:left w:val="nil"/>
              <w:bottom w:val="nil"/>
              <w:right w:val="nil"/>
            </w:tcBorders>
            <w:shd w:val="clear" w:color="auto" w:fill="F7F9FB"/>
            <w:tcMar>
              <w:top w:w="50" w:type="dxa"/>
              <w:left w:w="100" w:type="dxa"/>
              <w:bottom w:w="50" w:type="dxa"/>
              <w:right w:w="100" w:type="dxa"/>
            </w:tcMar>
          </w:tcPr>
          <w:p w14:paraId="3BE80D86" w14:textId="77777777" w:rsidR="00E50131" w:rsidRDefault="00000000">
            <w:pPr>
              <w:spacing w:before="20" w:after="20"/>
              <w:jc w:val="right"/>
            </w:pPr>
            <w:r>
              <w:rPr>
                <w:rFonts w:ascii="Calibri" w:eastAsia="Calibri" w:hAnsi="Calibri" w:cs="Calibri"/>
                <w:b/>
                <w:bCs/>
                <w:color w:val="2C3E50"/>
                <w:sz w:val="18"/>
                <w:szCs w:val="18"/>
              </w:rPr>
              <w:t>$2.82</w:t>
            </w:r>
          </w:p>
        </w:tc>
        <w:tc>
          <w:tcPr>
            <w:tcW w:w="1800" w:type="dxa"/>
            <w:tcBorders>
              <w:top w:val="nil"/>
              <w:left w:val="nil"/>
              <w:bottom w:val="nil"/>
              <w:right w:val="nil"/>
            </w:tcBorders>
            <w:shd w:val="clear" w:color="auto" w:fill="F7F9FB"/>
            <w:tcMar>
              <w:top w:w="50" w:type="dxa"/>
              <w:left w:w="100" w:type="dxa"/>
              <w:bottom w:w="50" w:type="dxa"/>
              <w:right w:w="100" w:type="dxa"/>
            </w:tcMar>
          </w:tcPr>
          <w:p w14:paraId="505B90BD" w14:textId="77777777" w:rsidR="00E50131" w:rsidRDefault="00000000">
            <w:pPr>
              <w:spacing w:before="20" w:after="20"/>
              <w:jc w:val="right"/>
            </w:pPr>
            <w:r>
              <w:rPr>
                <w:rFonts w:ascii="Calibri" w:eastAsia="Calibri" w:hAnsi="Calibri" w:cs="Calibri"/>
                <w:b/>
                <w:bCs/>
                <w:color w:val="2C3E50"/>
                <w:sz w:val="18"/>
                <w:szCs w:val="18"/>
              </w:rPr>
              <w:t>$2.15</w:t>
            </w:r>
          </w:p>
        </w:tc>
        <w:tc>
          <w:tcPr>
            <w:tcW w:w="2240" w:type="dxa"/>
            <w:tcBorders>
              <w:top w:val="nil"/>
              <w:left w:val="nil"/>
              <w:bottom w:val="nil"/>
              <w:right w:val="nil"/>
            </w:tcBorders>
            <w:shd w:val="clear" w:color="auto" w:fill="F7F9FB"/>
            <w:tcMar>
              <w:top w:w="50" w:type="dxa"/>
              <w:left w:w="100" w:type="dxa"/>
              <w:bottom w:w="50" w:type="dxa"/>
              <w:right w:w="100" w:type="dxa"/>
            </w:tcMar>
          </w:tcPr>
          <w:p w14:paraId="63CC924D" w14:textId="77777777" w:rsidR="00E50131" w:rsidRDefault="00000000">
            <w:pPr>
              <w:spacing w:before="20" w:after="20"/>
              <w:jc w:val="right"/>
            </w:pPr>
            <w:r>
              <w:rPr>
                <w:rFonts w:ascii="Calibri" w:eastAsia="Calibri" w:hAnsi="Calibri" w:cs="Calibri"/>
                <w:b/>
                <w:bCs/>
                <w:color w:val="2C3E50"/>
                <w:sz w:val="18"/>
                <w:szCs w:val="18"/>
              </w:rPr>
              <w:t>+31%</w:t>
            </w:r>
          </w:p>
        </w:tc>
      </w:tr>
      <w:tr w:rsidR="00E50131" w14:paraId="27099DB2" w14:textId="77777777" w:rsidTr="000B2E1E">
        <w:tc>
          <w:tcPr>
            <w:tcW w:w="2800" w:type="dxa"/>
            <w:tcBorders>
              <w:top w:val="nil"/>
              <w:left w:val="nil"/>
              <w:bottom w:val="nil"/>
              <w:right w:val="nil"/>
            </w:tcBorders>
            <w:shd w:val="clear" w:color="auto" w:fill="FFFFFF"/>
            <w:tcMar>
              <w:top w:w="50" w:type="dxa"/>
              <w:left w:w="160" w:type="dxa"/>
              <w:bottom w:w="50" w:type="dxa"/>
              <w:right w:w="100" w:type="dxa"/>
            </w:tcMar>
          </w:tcPr>
          <w:p w14:paraId="66D72B8E" w14:textId="77777777" w:rsidR="00E50131" w:rsidRDefault="00000000">
            <w:pPr>
              <w:spacing w:before="20" w:after="20"/>
            </w:pPr>
            <w:r>
              <w:rPr>
                <w:rFonts w:ascii="Calibri" w:eastAsia="Calibri" w:hAnsi="Calibri" w:cs="Calibri"/>
                <w:b/>
                <w:bCs/>
                <w:color w:val="2C3E50"/>
                <w:sz w:val="18"/>
                <w:szCs w:val="18"/>
              </w:rPr>
              <w:t>Operating Margin</w:t>
            </w:r>
          </w:p>
        </w:tc>
        <w:tc>
          <w:tcPr>
            <w:tcW w:w="1800" w:type="dxa"/>
            <w:tcBorders>
              <w:top w:val="nil"/>
              <w:left w:val="nil"/>
              <w:bottom w:val="nil"/>
              <w:right w:val="nil"/>
            </w:tcBorders>
            <w:shd w:val="clear" w:color="auto" w:fill="FFFFFF"/>
            <w:tcMar>
              <w:top w:w="50" w:type="dxa"/>
              <w:left w:w="100" w:type="dxa"/>
              <w:bottom w:w="50" w:type="dxa"/>
              <w:right w:w="100" w:type="dxa"/>
            </w:tcMar>
          </w:tcPr>
          <w:p w14:paraId="67AED51A" w14:textId="77777777" w:rsidR="00E50131" w:rsidRDefault="00000000">
            <w:pPr>
              <w:spacing w:before="20" w:after="20"/>
              <w:jc w:val="right"/>
            </w:pPr>
            <w:r>
              <w:rPr>
                <w:rFonts w:ascii="Calibri" w:eastAsia="Calibri" w:hAnsi="Calibri" w:cs="Calibri"/>
                <w:b/>
                <w:bCs/>
                <w:color w:val="2C3E50"/>
                <w:sz w:val="18"/>
                <w:szCs w:val="18"/>
              </w:rPr>
              <w:t>31.6%</w:t>
            </w:r>
          </w:p>
        </w:tc>
        <w:tc>
          <w:tcPr>
            <w:tcW w:w="1800" w:type="dxa"/>
            <w:tcBorders>
              <w:top w:val="nil"/>
              <w:left w:val="nil"/>
              <w:bottom w:val="nil"/>
              <w:right w:val="nil"/>
            </w:tcBorders>
            <w:shd w:val="clear" w:color="auto" w:fill="FFFFFF"/>
            <w:tcMar>
              <w:top w:w="50" w:type="dxa"/>
              <w:left w:w="100" w:type="dxa"/>
              <w:bottom w:w="50" w:type="dxa"/>
              <w:right w:w="100" w:type="dxa"/>
            </w:tcMar>
          </w:tcPr>
          <w:p w14:paraId="39324394" w14:textId="77777777" w:rsidR="00E50131" w:rsidRDefault="00000000">
            <w:pPr>
              <w:spacing w:before="20" w:after="20"/>
              <w:jc w:val="right"/>
            </w:pPr>
            <w:r>
              <w:rPr>
                <w:rFonts w:ascii="Calibri" w:eastAsia="Calibri" w:hAnsi="Calibri" w:cs="Calibri"/>
                <w:b/>
                <w:bCs/>
                <w:color w:val="2C3E50"/>
                <w:sz w:val="18"/>
                <w:szCs w:val="18"/>
              </w:rPr>
              <w:t>32.1%</w:t>
            </w:r>
          </w:p>
        </w:tc>
        <w:tc>
          <w:tcPr>
            <w:tcW w:w="2240" w:type="dxa"/>
            <w:tcBorders>
              <w:top w:val="nil"/>
              <w:left w:val="nil"/>
              <w:bottom w:val="nil"/>
              <w:right w:val="nil"/>
            </w:tcBorders>
            <w:shd w:val="clear" w:color="auto" w:fill="FFFFFF"/>
            <w:tcMar>
              <w:top w:w="50" w:type="dxa"/>
              <w:left w:w="100" w:type="dxa"/>
              <w:bottom w:w="50" w:type="dxa"/>
              <w:right w:w="100" w:type="dxa"/>
            </w:tcMar>
          </w:tcPr>
          <w:p w14:paraId="58574547" w14:textId="77777777" w:rsidR="00E50131" w:rsidRDefault="00000000">
            <w:pPr>
              <w:spacing w:before="20" w:after="20"/>
              <w:jc w:val="right"/>
            </w:pPr>
            <w:r>
              <w:rPr>
                <w:rFonts w:ascii="Calibri" w:eastAsia="Calibri" w:hAnsi="Calibri" w:cs="Calibri"/>
                <w:b/>
                <w:bCs/>
                <w:color w:val="2C3E50"/>
                <w:sz w:val="18"/>
                <w:szCs w:val="18"/>
              </w:rPr>
              <w:t>-0.5pp</w:t>
            </w:r>
          </w:p>
        </w:tc>
      </w:tr>
      <w:tr w:rsidR="00E50131" w14:paraId="725A812C" w14:textId="77777777" w:rsidTr="000B2E1E">
        <w:tc>
          <w:tcPr>
            <w:tcW w:w="2800" w:type="dxa"/>
            <w:tcBorders>
              <w:top w:val="nil"/>
              <w:left w:val="nil"/>
              <w:bottom w:val="nil"/>
              <w:right w:val="nil"/>
            </w:tcBorders>
            <w:shd w:val="clear" w:color="auto" w:fill="F7F9FB"/>
            <w:tcMar>
              <w:top w:w="50" w:type="dxa"/>
              <w:left w:w="160" w:type="dxa"/>
              <w:bottom w:w="50" w:type="dxa"/>
              <w:right w:w="100" w:type="dxa"/>
            </w:tcMar>
          </w:tcPr>
          <w:p w14:paraId="36F37488" w14:textId="77777777" w:rsidR="00E50131" w:rsidRDefault="00000000">
            <w:pPr>
              <w:spacing w:before="20" w:after="20"/>
            </w:pPr>
            <w:r>
              <w:rPr>
                <w:rFonts w:ascii="Calibri" w:eastAsia="Calibri" w:hAnsi="Calibri" w:cs="Calibri"/>
                <w:b/>
                <w:bCs/>
                <w:color w:val="2C3E50"/>
                <w:sz w:val="18"/>
                <w:szCs w:val="18"/>
              </w:rPr>
              <w:t>Operating Cash Flow</w:t>
            </w:r>
          </w:p>
        </w:tc>
        <w:tc>
          <w:tcPr>
            <w:tcW w:w="1800" w:type="dxa"/>
            <w:tcBorders>
              <w:top w:val="nil"/>
              <w:left w:val="nil"/>
              <w:bottom w:val="nil"/>
              <w:right w:val="nil"/>
            </w:tcBorders>
            <w:shd w:val="clear" w:color="auto" w:fill="F7F9FB"/>
            <w:tcMar>
              <w:top w:w="50" w:type="dxa"/>
              <w:left w:w="100" w:type="dxa"/>
              <w:bottom w:w="50" w:type="dxa"/>
              <w:right w:w="100" w:type="dxa"/>
            </w:tcMar>
          </w:tcPr>
          <w:p w14:paraId="34CA4818" w14:textId="77777777" w:rsidR="00E50131" w:rsidRDefault="00000000">
            <w:pPr>
              <w:spacing w:before="20" w:after="20"/>
              <w:jc w:val="right"/>
            </w:pPr>
            <w:r>
              <w:rPr>
                <w:rFonts w:ascii="Calibri" w:eastAsia="Calibri" w:hAnsi="Calibri" w:cs="Calibri"/>
                <w:b/>
                <w:bCs/>
                <w:color w:val="2C3E50"/>
                <w:sz w:val="18"/>
                <w:szCs w:val="18"/>
              </w:rPr>
              <w:t>$52.4B</w:t>
            </w:r>
          </w:p>
        </w:tc>
        <w:tc>
          <w:tcPr>
            <w:tcW w:w="1800" w:type="dxa"/>
            <w:tcBorders>
              <w:top w:val="nil"/>
              <w:left w:val="nil"/>
              <w:bottom w:val="nil"/>
              <w:right w:val="nil"/>
            </w:tcBorders>
            <w:shd w:val="clear" w:color="auto" w:fill="F7F9FB"/>
            <w:tcMar>
              <w:top w:w="50" w:type="dxa"/>
              <w:left w:w="100" w:type="dxa"/>
              <w:bottom w:w="50" w:type="dxa"/>
              <w:right w:w="100" w:type="dxa"/>
            </w:tcMar>
          </w:tcPr>
          <w:p w14:paraId="4F3C8D85" w14:textId="77777777" w:rsidR="00E50131" w:rsidRDefault="00000000">
            <w:pPr>
              <w:spacing w:before="20" w:after="20"/>
              <w:jc w:val="right"/>
            </w:pPr>
            <w:r>
              <w:rPr>
                <w:rFonts w:ascii="Calibri" w:eastAsia="Calibri" w:hAnsi="Calibri" w:cs="Calibri"/>
                <w:b/>
                <w:bCs/>
                <w:color w:val="2C3E50"/>
                <w:sz w:val="18"/>
                <w:szCs w:val="18"/>
              </w:rPr>
              <w:t>$36.2B</w:t>
            </w:r>
          </w:p>
        </w:tc>
        <w:tc>
          <w:tcPr>
            <w:tcW w:w="2240" w:type="dxa"/>
            <w:tcBorders>
              <w:top w:val="nil"/>
              <w:left w:val="nil"/>
              <w:bottom w:val="nil"/>
              <w:right w:val="nil"/>
            </w:tcBorders>
            <w:shd w:val="clear" w:color="auto" w:fill="F7F9FB"/>
            <w:tcMar>
              <w:top w:w="50" w:type="dxa"/>
              <w:left w:w="100" w:type="dxa"/>
              <w:bottom w:w="50" w:type="dxa"/>
              <w:right w:w="100" w:type="dxa"/>
            </w:tcMar>
          </w:tcPr>
          <w:p w14:paraId="610E081F" w14:textId="77777777" w:rsidR="00E50131" w:rsidRDefault="00000000">
            <w:pPr>
              <w:spacing w:before="20" w:after="20"/>
              <w:jc w:val="right"/>
            </w:pPr>
            <w:r>
              <w:rPr>
                <w:rFonts w:ascii="Calibri" w:eastAsia="Calibri" w:hAnsi="Calibri" w:cs="Calibri"/>
                <w:b/>
                <w:bCs/>
                <w:color w:val="27AE60"/>
                <w:sz w:val="18"/>
                <w:szCs w:val="18"/>
              </w:rPr>
              <w:t>+45%</w:t>
            </w:r>
          </w:p>
        </w:tc>
      </w:tr>
      <w:tr w:rsidR="00E50131" w14:paraId="37737384" w14:textId="77777777" w:rsidTr="000B2E1E">
        <w:tc>
          <w:tcPr>
            <w:tcW w:w="2800" w:type="dxa"/>
            <w:tcBorders>
              <w:top w:val="nil"/>
              <w:left w:val="nil"/>
              <w:bottom w:val="nil"/>
              <w:right w:val="nil"/>
            </w:tcBorders>
            <w:shd w:val="clear" w:color="auto" w:fill="E8F0FE"/>
            <w:tcMar>
              <w:top w:w="50" w:type="dxa"/>
              <w:left w:w="160" w:type="dxa"/>
              <w:bottom w:w="50" w:type="dxa"/>
              <w:right w:w="100" w:type="dxa"/>
            </w:tcMar>
          </w:tcPr>
          <w:p w14:paraId="151A751D" w14:textId="77777777" w:rsidR="00E50131" w:rsidRDefault="00000000">
            <w:pPr>
              <w:spacing w:before="20" w:after="20"/>
            </w:pPr>
            <w:r>
              <w:rPr>
                <w:rFonts w:ascii="Calibri" w:eastAsia="Calibri" w:hAnsi="Calibri" w:cs="Calibri"/>
                <w:b/>
                <w:bCs/>
                <w:color w:val="1B4F72"/>
                <w:sz w:val="18"/>
                <w:szCs w:val="18"/>
              </w:rPr>
              <w:t>Google Cloud Revenue</w:t>
            </w:r>
          </w:p>
        </w:tc>
        <w:tc>
          <w:tcPr>
            <w:tcW w:w="1800" w:type="dxa"/>
            <w:tcBorders>
              <w:top w:val="nil"/>
              <w:left w:val="nil"/>
              <w:bottom w:val="nil"/>
              <w:right w:val="nil"/>
            </w:tcBorders>
            <w:shd w:val="clear" w:color="auto" w:fill="E8F0FE"/>
            <w:tcMar>
              <w:top w:w="50" w:type="dxa"/>
              <w:left w:w="100" w:type="dxa"/>
              <w:bottom w:w="50" w:type="dxa"/>
              <w:right w:w="100" w:type="dxa"/>
            </w:tcMar>
          </w:tcPr>
          <w:p w14:paraId="330BA43D" w14:textId="77777777" w:rsidR="00E50131" w:rsidRDefault="00000000">
            <w:pPr>
              <w:spacing w:before="20" w:after="20"/>
              <w:jc w:val="right"/>
            </w:pPr>
            <w:r>
              <w:rPr>
                <w:rFonts w:ascii="Calibri" w:eastAsia="Calibri" w:hAnsi="Calibri" w:cs="Calibri"/>
                <w:b/>
                <w:bCs/>
                <w:color w:val="1B4F72"/>
                <w:sz w:val="18"/>
                <w:szCs w:val="18"/>
              </w:rPr>
              <w:t>$17.7B</w:t>
            </w:r>
          </w:p>
        </w:tc>
        <w:tc>
          <w:tcPr>
            <w:tcW w:w="1800" w:type="dxa"/>
            <w:tcBorders>
              <w:top w:val="nil"/>
              <w:left w:val="nil"/>
              <w:bottom w:val="nil"/>
              <w:right w:val="nil"/>
            </w:tcBorders>
            <w:shd w:val="clear" w:color="auto" w:fill="E8F0FE"/>
            <w:tcMar>
              <w:top w:w="50" w:type="dxa"/>
              <w:left w:w="100" w:type="dxa"/>
              <w:bottom w:w="50" w:type="dxa"/>
              <w:right w:w="100" w:type="dxa"/>
            </w:tcMar>
          </w:tcPr>
          <w:p w14:paraId="60A895AB" w14:textId="77777777" w:rsidR="00E50131" w:rsidRDefault="00000000">
            <w:pPr>
              <w:spacing w:before="20" w:after="20"/>
              <w:jc w:val="right"/>
            </w:pPr>
            <w:r>
              <w:rPr>
                <w:rFonts w:ascii="Calibri" w:eastAsia="Calibri" w:hAnsi="Calibri" w:cs="Calibri"/>
                <w:b/>
                <w:bCs/>
                <w:color w:val="1B4F72"/>
                <w:sz w:val="18"/>
                <w:szCs w:val="18"/>
              </w:rPr>
              <w:t>$12.0B</w:t>
            </w:r>
          </w:p>
        </w:tc>
        <w:tc>
          <w:tcPr>
            <w:tcW w:w="2240" w:type="dxa"/>
            <w:tcBorders>
              <w:top w:val="nil"/>
              <w:left w:val="nil"/>
              <w:bottom w:val="nil"/>
              <w:right w:val="nil"/>
            </w:tcBorders>
            <w:shd w:val="clear" w:color="auto" w:fill="E8F0FE"/>
            <w:tcMar>
              <w:top w:w="50" w:type="dxa"/>
              <w:left w:w="100" w:type="dxa"/>
              <w:bottom w:w="50" w:type="dxa"/>
              <w:right w:w="100" w:type="dxa"/>
            </w:tcMar>
          </w:tcPr>
          <w:p w14:paraId="3E82B556" w14:textId="77777777" w:rsidR="00E50131" w:rsidRDefault="00000000">
            <w:pPr>
              <w:spacing w:before="20" w:after="20"/>
              <w:jc w:val="right"/>
            </w:pPr>
            <w:r>
              <w:rPr>
                <w:rFonts w:ascii="Calibri" w:eastAsia="Calibri" w:hAnsi="Calibri" w:cs="Calibri"/>
                <w:b/>
                <w:bCs/>
                <w:color w:val="27AE60"/>
                <w:sz w:val="18"/>
                <w:szCs w:val="18"/>
              </w:rPr>
              <w:t>+48%</w:t>
            </w:r>
          </w:p>
        </w:tc>
      </w:tr>
    </w:tbl>
    <w:p w14:paraId="63236F89" w14:textId="77777777" w:rsidR="00E50131" w:rsidRDefault="00000000">
      <w:pPr>
        <w:pBdr>
          <w:bottom w:val="single" w:sz="6" w:space="4" w:color="2874A6"/>
        </w:pBdr>
        <w:spacing w:before="400" w:after="100"/>
      </w:pPr>
      <w:r>
        <w:rPr>
          <w:rFonts w:ascii="Calibri" w:eastAsia="Calibri" w:hAnsi="Calibri" w:cs="Calibri"/>
          <w:b/>
          <w:bCs/>
          <w:color w:val="1B4F72"/>
          <w:spacing w:val="60"/>
          <w:sz w:val="28"/>
          <w:szCs w:val="28"/>
        </w:rPr>
        <w:lastRenderedPageBreak/>
        <w:t>III. GOOGLE CLOUD: THE AI INFRASTRUCTURE LANDLORD</w:t>
      </w:r>
    </w:p>
    <w:p w14:paraId="617AB9C7" w14:textId="77777777" w:rsidR="00E50131" w:rsidRDefault="00000000">
      <w:pPr>
        <w:spacing w:before="240" w:after="40"/>
        <w:jc w:val="center"/>
      </w:pPr>
      <w:r>
        <w:rPr>
          <w:noProof/>
        </w:rPr>
        <w:drawing>
          <wp:inline distT="0" distB="0" distL="0" distR="0" wp14:anchorId="3A8173B5" wp14:editId="1340B954">
            <wp:extent cx="5210175" cy="2505075"/>
            <wp:effectExtent l="0" t="0" r="0" b="0"/>
            <wp:docPr id="164147412" name="cloud.png" descr="Figure 2: Google Cloud Quarterly Revenue and Growth Rate Acceleration" title="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2505075"/>
                    </a:xfrm>
                    <a:prstGeom prst="rect">
                      <a:avLst/>
                    </a:prstGeom>
                  </pic:spPr>
                </pic:pic>
              </a:graphicData>
            </a:graphic>
          </wp:inline>
        </w:drawing>
      </w:r>
    </w:p>
    <w:p w14:paraId="3C35ED6C" w14:textId="77777777" w:rsidR="00E50131" w:rsidRDefault="00000000">
      <w:pPr>
        <w:spacing w:after="200"/>
        <w:jc w:val="center"/>
      </w:pPr>
      <w:r>
        <w:rPr>
          <w:rFonts w:ascii="Calibri" w:eastAsia="Calibri" w:hAnsi="Calibri" w:cs="Calibri"/>
          <w:i/>
          <w:iCs/>
          <w:color w:val="7F8C8D"/>
          <w:sz w:val="17"/>
          <w:szCs w:val="17"/>
        </w:rPr>
        <w:t>Figure 2: Google Cloud Quarterly Revenue and Growth Rate Acceleration</w:t>
      </w:r>
    </w:p>
    <w:p w14:paraId="7BE211D0" w14:textId="77777777" w:rsidR="00E50131" w:rsidRDefault="00000000">
      <w:pPr>
        <w:spacing w:before="80" w:after="80" w:line="312" w:lineRule="auto"/>
      </w:pPr>
      <w:r>
        <w:t>Google Cloud represents perhaps the most compelling growth story within Alphabet. Revenue surged 48% to $17.7 billion in Q4, materially above consensus expectations of $16.2 billion. The segment now operates at an annual run rate exceeding $70 billion. More importantly, the backlog tells the forward story: $240 billion at year-end, having grown 55% sequentially and more than doubled year-on-year.</w:t>
      </w:r>
    </w:p>
    <w:p w14:paraId="2AD240A4" w14:textId="77777777" w:rsidR="00E50131" w:rsidRDefault="00000000">
      <w:pPr>
        <w:spacing w:before="80" w:after="80" w:line="312" w:lineRule="auto"/>
      </w:pPr>
      <w:r>
        <w:t>The qualitative indicators are equally striking. The number of deals exceeding $1 billion in 2025 surpassed the previous three years combined. New customer acquisition velocity doubled between Q1 and Q4. Existing customers are outpacing their initial commitments by over 30%. Nearly 75% of Google Cloud customers now utilise vertically optimised AI services, and these AI-engaged customers consume 1.8 times as many products as non-AI customers, creating powerful cross-selling dynamics.</w:t>
      </w:r>
    </w:p>
    <w:p w14:paraId="5F069297" w14:textId="77777777" w:rsidR="00E50131" w:rsidRDefault="00000000">
      <w:pPr>
        <w:spacing w:before="80" w:after="80" w:line="312" w:lineRule="auto"/>
      </w:pPr>
      <w:r>
        <w:t>In a landmark validation of its cloud credentials, Google Cloud secured a multi-million dollar contract with the NATO Communication and Information Agency (NCIA), placing it alongside AWS and Azure as a trusted platform for sovereign and defence workloads.</w:t>
      </w:r>
    </w:p>
    <w:p w14:paraId="1A32A1D8" w14:textId="77777777" w:rsidR="00E50131" w:rsidRDefault="00000000">
      <w:pPr>
        <w:pBdr>
          <w:bottom w:val="single" w:sz="6" w:space="4" w:color="2874A6"/>
        </w:pBdr>
        <w:spacing w:before="400" w:after="100"/>
      </w:pPr>
      <w:r>
        <w:rPr>
          <w:rFonts w:ascii="Calibri" w:eastAsia="Calibri" w:hAnsi="Calibri" w:cs="Calibri"/>
          <w:b/>
          <w:bCs/>
          <w:color w:val="1B4F72"/>
          <w:spacing w:val="60"/>
          <w:sz w:val="28"/>
          <w:szCs w:val="28"/>
        </w:rPr>
        <w:t>IV. GEMINI: FRONTIER INTELLIGENCE AT SCALE</w:t>
      </w:r>
    </w:p>
    <w:p w14:paraId="2377A008" w14:textId="77777777" w:rsidR="00E50131" w:rsidRDefault="00000000">
      <w:pPr>
        <w:spacing w:before="240" w:after="40"/>
        <w:jc w:val="center"/>
      </w:pPr>
      <w:r>
        <w:rPr>
          <w:noProof/>
        </w:rPr>
        <w:lastRenderedPageBreak/>
        <w:drawing>
          <wp:inline distT="0" distB="0" distL="0" distR="0" wp14:anchorId="35128570" wp14:editId="2295DCD3">
            <wp:extent cx="5048250" cy="2219325"/>
            <wp:effectExtent l="0" t="0" r="0" b="0"/>
            <wp:docPr id="1372672834" name="gemini.png" descr="Figure 3: The Gemini 3 Ecosystem and Benchmark Performance" title="gemi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48250" cy="2219325"/>
                    </a:xfrm>
                    <a:prstGeom prst="rect">
                      <a:avLst/>
                    </a:prstGeom>
                  </pic:spPr>
                </pic:pic>
              </a:graphicData>
            </a:graphic>
          </wp:inline>
        </w:drawing>
      </w:r>
    </w:p>
    <w:p w14:paraId="3F430E1A" w14:textId="77777777" w:rsidR="00E50131" w:rsidRDefault="00000000">
      <w:pPr>
        <w:spacing w:after="200"/>
        <w:jc w:val="center"/>
      </w:pPr>
      <w:r>
        <w:rPr>
          <w:rFonts w:ascii="Calibri" w:eastAsia="Calibri" w:hAnsi="Calibri" w:cs="Calibri"/>
          <w:i/>
          <w:iCs/>
          <w:color w:val="7F8C8D"/>
          <w:sz w:val="17"/>
          <w:szCs w:val="17"/>
        </w:rPr>
        <w:t>Figure 3: The Gemini 3 Ecosystem and Benchmark Performance</w:t>
      </w:r>
    </w:p>
    <w:p w14:paraId="0A80C1F5" w14:textId="77777777" w:rsidR="00E50131" w:rsidRDefault="00000000">
      <w:pPr>
        <w:spacing w:before="80" w:after="80" w:line="312" w:lineRule="auto"/>
      </w:pPr>
      <w:r>
        <w:t xml:space="preserve">The launch of Gemini 3 in November 2025 marked a watershed moment for Alphabet’s AI ambitions. The model immediately topped the </w:t>
      </w:r>
      <w:proofErr w:type="spellStart"/>
      <w:r>
        <w:t>LMArena</w:t>
      </w:r>
      <w:proofErr w:type="spellEnd"/>
      <w:r>
        <w:t xml:space="preserve"> leaderboard with an unprecedented 1,501 Elo score, the first model to break the 1,500 barrier. On Humanity’s Last Exam, a benchmark designed to test PhD-level expertise, Gemini 3 Pro scored 37.5% without tools, surpassing GPT-5 Pro’s previous high of 31.6%. The Deep Think reasoning mode pushed this further to 41.0%.</w:t>
      </w:r>
    </w:p>
    <w:p w14:paraId="089D8490" w14:textId="77777777" w:rsidR="00E50131" w:rsidRDefault="00000000">
      <w:pPr>
        <w:spacing w:before="80" w:after="80" w:line="312" w:lineRule="auto"/>
      </w:pPr>
      <w:r>
        <w:t>In mathematics, Gemini 3 Pro achieved a perfect 100% on AIME 2025 with code execution, and 95% without. On GPQA Diamond, it reached 91.9%. Perhaps most impressively, ARC-AGI-2 scores leapt from 4.9% (Gemini 2.5 Pro) to 31.1%, with Deep Think reaching 45.1%, an order-of-magnitude improvement that suggests genuinely novel reasoning capabilities rather than mere pattern matching.</w:t>
      </w:r>
    </w:p>
    <w:p w14:paraId="1DF33067" w14:textId="77777777" w:rsidR="00E50131" w:rsidRDefault="00000000">
      <w:pPr>
        <w:spacing w:before="80" w:after="80" w:line="312" w:lineRule="auto"/>
      </w:pPr>
      <w:r>
        <w:t>Critically, Gemini is not merely a research achievement; it is deeply embedded in commercial products. The Gemini App now exceeds 750 million monthly active users. Over 13 million developers build with Gemini models. The API processes over 10 billion tokens per minute. Gemini 3 Flash, released in December 2025, matches Pro-grade reasoning at a fraction of the cost, and is now the default model across the Gemini App and AI Mode in Search.</w:t>
      </w:r>
    </w:p>
    <w:p w14:paraId="159499B7" w14:textId="77777777" w:rsidR="00E50131" w:rsidRDefault="00000000">
      <w:pPr>
        <w:spacing w:before="80" w:after="80" w:line="312" w:lineRule="auto"/>
      </w:pPr>
      <w:r>
        <w:t>The competitive moat here is financial as much as technical. Alphabet can subsidise Gemini’s adoption through its $82 billion quarterly advertising revenue, pricing aggressively to win market share in ways that standalone AI companies simply cannot sustain.</w:t>
      </w:r>
    </w:p>
    <w:p w14:paraId="00D9C119" w14:textId="77777777" w:rsidR="00E50131" w:rsidRDefault="00000000">
      <w:pPr>
        <w:pBdr>
          <w:bottom w:val="single" w:sz="6" w:space="4" w:color="2874A6"/>
        </w:pBdr>
        <w:spacing w:before="400" w:after="100"/>
      </w:pPr>
      <w:r>
        <w:rPr>
          <w:rFonts w:ascii="Calibri" w:eastAsia="Calibri" w:hAnsi="Calibri" w:cs="Calibri"/>
          <w:b/>
          <w:bCs/>
          <w:color w:val="1B4F72"/>
          <w:spacing w:val="60"/>
          <w:sz w:val="28"/>
          <w:szCs w:val="28"/>
        </w:rPr>
        <w:t>V. WAYMO: FROM MOONSHOT TO COMMERCIAL REALITY</w:t>
      </w:r>
    </w:p>
    <w:p w14:paraId="3CD197BA" w14:textId="77777777" w:rsidR="00E50131" w:rsidRDefault="00000000">
      <w:pPr>
        <w:spacing w:before="240" w:after="40"/>
        <w:jc w:val="center"/>
      </w:pPr>
      <w:r>
        <w:rPr>
          <w:noProof/>
        </w:rPr>
        <w:lastRenderedPageBreak/>
        <w:drawing>
          <wp:inline distT="0" distB="0" distL="0" distR="0" wp14:anchorId="6A455AE6" wp14:editId="01BD1801">
            <wp:extent cx="5048250" cy="1914525"/>
            <wp:effectExtent l="0" t="0" r="0" b="0"/>
            <wp:docPr id="1901190287" name="waymo.png" descr="Figure 4: Waymo’s Trajectory from R&amp;D to Global Autonomous Mobility" title="way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48250" cy="1914525"/>
                    </a:xfrm>
                    <a:prstGeom prst="rect">
                      <a:avLst/>
                    </a:prstGeom>
                  </pic:spPr>
                </pic:pic>
              </a:graphicData>
            </a:graphic>
          </wp:inline>
        </w:drawing>
      </w:r>
    </w:p>
    <w:p w14:paraId="4FB68486" w14:textId="77777777" w:rsidR="00E50131" w:rsidRDefault="00000000">
      <w:pPr>
        <w:spacing w:after="200"/>
        <w:jc w:val="center"/>
      </w:pPr>
      <w:r>
        <w:rPr>
          <w:rFonts w:ascii="Calibri" w:eastAsia="Calibri" w:hAnsi="Calibri" w:cs="Calibri"/>
          <w:i/>
          <w:iCs/>
          <w:color w:val="7F8C8D"/>
          <w:sz w:val="17"/>
          <w:szCs w:val="17"/>
        </w:rPr>
        <w:t>Figure 4: Waymo’s Trajectory from R&amp;D to Global Autonomous Mobility</w:t>
      </w:r>
    </w:p>
    <w:p w14:paraId="2806F8B3" w14:textId="77777777" w:rsidR="00E50131" w:rsidRDefault="00000000">
      <w:pPr>
        <w:spacing w:before="80" w:after="80" w:line="312" w:lineRule="auto"/>
      </w:pPr>
      <w:r>
        <w:t xml:space="preserve">In February 2026, Waymo raised $16 billion at a post-money valuation of $126 billion, nearly tripling its $45 billion valuation from October 2024. The funding round, led by </w:t>
      </w:r>
      <w:proofErr w:type="spellStart"/>
      <w:r>
        <w:t>Dragoneer</w:t>
      </w:r>
      <w:proofErr w:type="spellEnd"/>
      <w:r>
        <w:t>, DST Global, and Sequoia Capital, reads as a who’s who of institutional tech investing: firms that do not write $16 billion cheques without extensive due diligence.</w:t>
      </w:r>
    </w:p>
    <w:p w14:paraId="2E7FB3B6" w14:textId="77777777" w:rsidR="00E50131" w:rsidRDefault="00000000">
      <w:pPr>
        <w:spacing w:before="80" w:after="80" w:line="312" w:lineRule="auto"/>
      </w:pPr>
      <w:r>
        <w:t>The operational metrics underpin the valuation. Waymo now delivers over 400,000 paid rides weekly across six US cities, having completed 15 million trips in 2025 alone. Its safety record, with 90% fewer serious crashes than human drivers across 127 million autonomous miles, provides the regulatory confidence necessary for expansion. The 2026 roadmap is ambitious: deployment across 20+ new cities, including New York, Dallas, Denver, Washington D.C., and critically, London and Tokyo, marking Waymo’s first international operations.</w:t>
      </w:r>
    </w:p>
    <w:p w14:paraId="741E07EF" w14:textId="77777777" w:rsidR="00E50131" w:rsidRDefault="00000000">
      <w:pPr>
        <w:spacing w:before="80" w:after="80" w:line="312" w:lineRule="auto"/>
      </w:pPr>
      <w:r>
        <w:t xml:space="preserve">For Alphabet’s equity valuation, Waymo’s $126 billion standalone value is material. It represents approximately 3.4% of Alphabet’s market </w:t>
      </w:r>
      <w:proofErr w:type="gramStart"/>
      <w:r>
        <w:t>capitalisation, yet</w:t>
      </w:r>
      <w:proofErr w:type="gramEnd"/>
      <w:r>
        <w:t xml:space="preserve"> is buried within the loss-making “Other Bets” segment that many analysts effectively assign zero value. This is a classic case of sum-of-the-parts mispricing.</w:t>
      </w:r>
    </w:p>
    <w:p w14:paraId="3F234C38" w14:textId="77777777" w:rsidR="00E50131" w:rsidRDefault="00000000">
      <w:pPr>
        <w:pBdr>
          <w:bottom w:val="single" w:sz="6" w:space="4" w:color="2874A6"/>
        </w:pBdr>
        <w:spacing w:before="400" w:after="100"/>
      </w:pPr>
      <w:r>
        <w:rPr>
          <w:rFonts w:ascii="Calibri" w:eastAsia="Calibri" w:hAnsi="Calibri" w:cs="Calibri"/>
          <w:b/>
          <w:bCs/>
          <w:color w:val="1B4F72"/>
          <w:spacing w:val="60"/>
          <w:sz w:val="28"/>
          <w:szCs w:val="28"/>
        </w:rPr>
        <w:t>VI. QUANTUM COMPUTING: WILLOW AND THE LONG FRONTIER</w:t>
      </w:r>
    </w:p>
    <w:p w14:paraId="482FC581" w14:textId="77777777" w:rsidR="00E50131" w:rsidRDefault="00000000">
      <w:pPr>
        <w:spacing w:before="80" w:after="80" w:line="312" w:lineRule="auto"/>
      </w:pPr>
      <w:r>
        <w:t>Google Quantum AI’s Willow processor, a 105-qubit superconducting chip, achieved the first below-threshold quantum error correction in December 2024, cracking a challenge the field had pursued for nearly 30 years. In October 2025, Google announced the “Quantum Echoes” algorithm, the first verifiable quantum advantage on hardware, running 13,000 times faster than the world’s most powerful supercomputer on a scientifically meaningful task. The result was published in Nature.</w:t>
      </w:r>
    </w:p>
    <w:p w14:paraId="6BB8B270" w14:textId="77777777" w:rsidR="00E50131" w:rsidRDefault="00000000">
      <w:pPr>
        <w:spacing w:before="80" w:after="80" w:line="312" w:lineRule="auto"/>
      </w:pPr>
      <w:r>
        <w:t xml:space="preserve">We maintain intellectual honesty here: commercially meaningful quantum computing remains years, perhaps a decade, away. Current demonstrations are scientifically impressive but limited in practical scope. However, the strategic value lies in option </w:t>
      </w:r>
      <w:r>
        <w:lastRenderedPageBreak/>
        <w:t>convexity. If quantum computing delivers on even a fraction of its theoretical promise in materials science, drug discovery, or cryptography, Alphabet’s decade-long head start and dedicated fabrication facility in Santa Barbara represent an asymmetric upside that the market assigns no premium to. Google has opened Willow access to UK researchers via the National Quantum Computing Centre, a move that accelerates practical applications whilst strengthening Alphabet’s position at the frontier.</w:t>
      </w:r>
    </w:p>
    <w:p w14:paraId="27A264F4" w14:textId="77777777" w:rsidR="00E50131" w:rsidRDefault="00000000">
      <w:pPr>
        <w:pBdr>
          <w:bottom w:val="single" w:sz="6" w:space="4" w:color="2874A6"/>
        </w:pBdr>
        <w:spacing w:before="400" w:after="100"/>
      </w:pPr>
      <w:r>
        <w:rPr>
          <w:rFonts w:ascii="Calibri" w:eastAsia="Calibri" w:hAnsi="Calibri" w:cs="Calibri"/>
          <w:b/>
          <w:bCs/>
          <w:color w:val="1B4F72"/>
          <w:spacing w:val="60"/>
          <w:sz w:val="28"/>
          <w:szCs w:val="28"/>
        </w:rPr>
        <w:t>VII. RISK ASSESSMENT</w:t>
      </w:r>
    </w:p>
    <w:p w14:paraId="1C07BEA2" w14:textId="77777777" w:rsidR="00E50131" w:rsidRDefault="00000000">
      <w:pPr>
        <w:spacing w:before="280" w:after="80"/>
      </w:pPr>
      <w:r>
        <w:rPr>
          <w:rFonts w:ascii="Calibri" w:eastAsia="Calibri" w:hAnsi="Calibri" w:cs="Calibri"/>
          <w:b/>
          <w:bCs/>
          <w:color w:val="2874A6"/>
          <w:sz w:val="24"/>
          <w:szCs w:val="24"/>
        </w:rPr>
        <w:t>Value Trap Check</w:t>
      </w:r>
    </w:p>
    <w:p w14:paraId="70290618" w14:textId="77777777" w:rsidR="00E50131" w:rsidRDefault="00000000">
      <w:pPr>
        <w:spacing w:before="80" w:after="80" w:line="312" w:lineRule="auto"/>
      </w:pPr>
      <w:r>
        <w:rPr>
          <w:b/>
          <w:bCs/>
        </w:rPr>
        <w:t>Verdict: Definitively not a value trap.</w:t>
      </w:r>
    </w:p>
    <w:p w14:paraId="70DBBE3A" w14:textId="77777777" w:rsidR="00E50131" w:rsidRDefault="00000000">
      <w:pPr>
        <w:spacing w:before="40" w:after="40" w:line="300" w:lineRule="auto"/>
        <w:ind w:left="540" w:hanging="270"/>
      </w:pPr>
      <w:r>
        <w:rPr>
          <w:color w:val="2874A6"/>
        </w:rPr>
        <w:t xml:space="preserve">•  </w:t>
      </w:r>
      <w:r>
        <w:t>Revenue growing at 18% on a $400 billion base</w:t>
      </w:r>
    </w:p>
    <w:p w14:paraId="391DAC7C" w14:textId="77777777" w:rsidR="00E50131" w:rsidRDefault="00000000">
      <w:pPr>
        <w:spacing w:before="40" w:after="40" w:line="300" w:lineRule="auto"/>
        <w:ind w:left="540" w:hanging="270"/>
      </w:pPr>
      <w:r>
        <w:rPr>
          <w:color w:val="2874A6"/>
        </w:rPr>
        <w:t xml:space="preserve">•  </w:t>
      </w:r>
      <w:r>
        <w:t>Operating margins above 31%, with Google Services at 42%</w:t>
      </w:r>
    </w:p>
    <w:p w14:paraId="426EDCCD" w14:textId="77777777" w:rsidR="00E50131" w:rsidRDefault="00000000">
      <w:pPr>
        <w:spacing w:before="40" w:after="40" w:line="300" w:lineRule="auto"/>
        <w:ind w:left="540" w:hanging="270"/>
      </w:pPr>
      <w:r>
        <w:rPr>
          <w:color w:val="2874A6"/>
        </w:rPr>
        <w:t xml:space="preserve">•  </w:t>
      </w:r>
      <w:r>
        <w:t>Free cash flow of $73.3 billion annually</w:t>
      </w:r>
    </w:p>
    <w:p w14:paraId="32197073" w14:textId="77777777" w:rsidR="00E50131" w:rsidRDefault="00000000">
      <w:pPr>
        <w:spacing w:before="40" w:after="40" w:line="300" w:lineRule="auto"/>
        <w:ind w:left="540" w:hanging="270"/>
      </w:pPr>
      <w:r>
        <w:rPr>
          <w:color w:val="2874A6"/>
        </w:rPr>
        <w:t xml:space="preserve">•  </w:t>
      </w:r>
      <w:r>
        <w:t>Google Cloud accelerating, not decelerating</w:t>
      </w:r>
    </w:p>
    <w:p w14:paraId="14FBCCAA" w14:textId="77777777" w:rsidR="00E50131" w:rsidRDefault="00000000">
      <w:pPr>
        <w:spacing w:before="280" w:after="80"/>
      </w:pPr>
      <w:r>
        <w:rPr>
          <w:rFonts w:ascii="Calibri" w:eastAsia="Calibri" w:hAnsi="Calibri" w:cs="Calibri"/>
          <w:b/>
          <w:bCs/>
          <w:color w:val="2874A6"/>
          <w:sz w:val="24"/>
          <w:szCs w:val="24"/>
        </w:rPr>
        <w:t>Hype Check</w:t>
      </w:r>
    </w:p>
    <w:p w14:paraId="1AE743EB" w14:textId="77777777" w:rsidR="00E50131" w:rsidRDefault="00000000">
      <w:pPr>
        <w:spacing w:before="80" w:after="80" w:line="312" w:lineRule="auto"/>
      </w:pPr>
      <w:r>
        <w:t>Unlike pure-play AI companies trading on narrative, Alphabet’s AI thesis is already generating measurable revenue. Google Cloud’s 48% growth is driven by paying enterprise customers, not speculative future demand. The 78% reduction in Gemini serving costs over 2025 demonstrates improving unit economics, not cost escalation.</w:t>
      </w:r>
    </w:p>
    <w:p w14:paraId="35253DA7" w14:textId="77777777" w:rsidR="00E50131" w:rsidRDefault="00000000">
      <w:pPr>
        <w:spacing w:before="280" w:after="80"/>
      </w:pPr>
      <w:r>
        <w:rPr>
          <w:rFonts w:ascii="Calibri" w:eastAsia="Calibri" w:hAnsi="Calibri" w:cs="Calibri"/>
          <w:b/>
          <w:bCs/>
          <w:color w:val="2874A6"/>
          <w:sz w:val="24"/>
          <w:szCs w:val="24"/>
        </w:rPr>
        <w:t>Antitrust Risk Assessment</w:t>
      </w:r>
    </w:p>
    <w:p w14:paraId="70BAFABE" w14:textId="77777777" w:rsidR="00E50131" w:rsidRDefault="00000000">
      <w:pPr>
        <w:spacing w:before="80" w:after="80" w:line="312" w:lineRule="auto"/>
      </w:pPr>
      <w:r>
        <w:t>The September 2025 search ruling was materially more favourable than bears anticipated. Chrome and Android remain intact. The DOJ’s appeal introduces uncertainty, but the judicial precedent of behavioural over structural remedies provides a reasonable base case. The ad-tech case remains a monitoring point, though potential remedies to the advertising stack carry less existential risk to the core business than a Chrome or Android divestiture would have.</w:t>
      </w:r>
    </w:p>
    <w:p w14:paraId="50324B60" w14:textId="77777777" w:rsidR="00E50131" w:rsidRDefault="00000000">
      <w:pPr>
        <w:pBdr>
          <w:bottom w:val="single" w:sz="6" w:space="4" w:color="2874A6"/>
        </w:pBdr>
        <w:spacing w:before="400" w:after="100"/>
      </w:pPr>
      <w:r>
        <w:rPr>
          <w:rFonts w:ascii="Calibri" w:eastAsia="Calibri" w:hAnsi="Calibri" w:cs="Calibri"/>
          <w:b/>
          <w:bCs/>
          <w:color w:val="1B4F72"/>
          <w:spacing w:val="60"/>
          <w:sz w:val="28"/>
          <w:szCs w:val="28"/>
        </w:rPr>
        <w:t>VIII. DISCOUNTED CASH FLOW ANALYSIS: INTRINSIC VALUE DERIVATION</w:t>
      </w:r>
    </w:p>
    <w:p w14:paraId="3482818F" w14:textId="77777777" w:rsidR="00E50131" w:rsidRDefault="00000000">
      <w:pPr>
        <w:spacing w:before="80" w:after="80" w:line="312" w:lineRule="auto"/>
      </w:pPr>
      <w:r>
        <w:t>We construct a ten-year two-stage DCF model to derive Alphabet’s intrinsic value. Our approach discounts projected unlevered free cash flows to the firm and applies a terminal value based on a perpetuity growth model. We deliberately lean towards conservative assumptions in early years and allow the compounding effect of Alphabet’s structural advantages to drive the valuation outcome.</w:t>
      </w:r>
    </w:p>
    <w:p w14:paraId="0DB12311" w14:textId="77777777" w:rsidR="00E50131" w:rsidRDefault="00000000">
      <w:pPr>
        <w:spacing w:before="280" w:after="80"/>
      </w:pPr>
      <w:r>
        <w:rPr>
          <w:rFonts w:ascii="Calibri" w:eastAsia="Calibri" w:hAnsi="Calibri" w:cs="Calibri"/>
          <w:b/>
          <w:bCs/>
          <w:color w:val="2874A6"/>
          <w:sz w:val="24"/>
          <w:szCs w:val="24"/>
        </w:rPr>
        <w:lastRenderedPageBreak/>
        <w:t>Key Assumptions</w:t>
      </w:r>
    </w:p>
    <w:p w14:paraId="5F9B0E07" w14:textId="77777777" w:rsidR="00E50131" w:rsidRDefault="00000000">
      <w:pPr>
        <w:spacing w:before="80" w:after="80" w:line="312" w:lineRule="auto"/>
      </w:pPr>
      <w:r>
        <w:rPr>
          <w:b/>
          <w:bCs/>
        </w:rPr>
        <w:t>Weighted Average Cost of Capital (WACC): 8.5%</w:t>
      </w:r>
    </w:p>
    <w:p w14:paraId="5A760DFD" w14:textId="77777777" w:rsidR="00E50131" w:rsidRDefault="00000000">
      <w:pPr>
        <w:spacing w:before="80" w:after="80" w:line="312" w:lineRule="auto"/>
      </w:pPr>
      <w:r>
        <w:t>We apply a WACC of 8.5%, moderately above the consensus estimate of 7.45% (per Alpha Spread) to introduce conservatism. This reflects a cost of equity of approximately 8.6% (risk-free rate of 4.3%, equity risk premium of 4.8%, beta of 0.9) and a negligible cost of debt given Alphabet’s minimal leverage (debt-to-capital ratio below 1%).</w:t>
      </w:r>
    </w:p>
    <w:p w14:paraId="7E038EE1" w14:textId="77777777" w:rsidR="00E50131" w:rsidRDefault="00000000">
      <w:pPr>
        <w:spacing w:before="80" w:after="80" w:line="312" w:lineRule="auto"/>
      </w:pPr>
      <w:r>
        <w:rPr>
          <w:b/>
          <w:bCs/>
        </w:rPr>
        <w:t>Revenue Growth Assumptions</w:t>
      </w:r>
    </w:p>
    <w:p w14:paraId="698D441F" w14:textId="77777777" w:rsidR="00E50131" w:rsidRDefault="00000000">
      <w:pPr>
        <w:spacing w:before="80" w:after="80" w:line="312" w:lineRule="auto"/>
      </w:pPr>
      <w:r>
        <w:t xml:space="preserve">We model a two-phase trajectory. Phase 1 (2026–2030) captures the AI infrastructure build-out and Cloud’s hypergrowth, with consolidated revenue CAGR of 14%. Phase 2 (2031–2035) models maturation as </w:t>
      </w:r>
      <w:proofErr w:type="spellStart"/>
      <w:r>
        <w:t>CapEx</w:t>
      </w:r>
      <w:proofErr w:type="spellEnd"/>
      <w:r>
        <w:t xml:space="preserve"> intensity normalises, with CAGR decelerating to 10%. These assumptions are supported by Alphabet’s 14-year historical revenue CAGR of 18% and the consensus projected 3-year CAGR of 13%.</w:t>
      </w:r>
    </w:p>
    <w:p w14:paraId="6B7B5929" w14:textId="77777777" w:rsidR="00E50131" w:rsidRDefault="00000000">
      <w:pPr>
        <w:spacing w:before="80" w:after="80" w:line="312" w:lineRule="auto"/>
      </w:pPr>
      <w:r>
        <w:rPr>
          <w:b/>
          <w:bCs/>
        </w:rPr>
        <w:t>Margin Trajectory</w:t>
      </w:r>
    </w:p>
    <w:p w14:paraId="76187C6B" w14:textId="77777777" w:rsidR="00E50131" w:rsidRDefault="00000000">
      <w:pPr>
        <w:spacing w:before="80" w:after="80" w:line="312" w:lineRule="auto"/>
      </w:pPr>
      <w:r>
        <w:t xml:space="preserve">We project operating margins expanding from 31.6% (FY2025) to 37% by 2030 and 40% by 2035, driven by three structural forces: Google Cloud’s margin expansion from 23.7% towards AWS-like levels of 35%+, declining Gemini serving costs (78% reduction achieved in 2025 alone), and </w:t>
      </w:r>
      <w:proofErr w:type="spellStart"/>
      <w:r>
        <w:t>CapEx</w:t>
      </w:r>
      <w:proofErr w:type="spellEnd"/>
      <w:r>
        <w:t xml:space="preserve"> intensity normalising as the AI infrastructure build-out matures. Free cash flow margins expand from approximately 18% (FY2025, depressed by peak </w:t>
      </w:r>
      <w:proofErr w:type="spellStart"/>
      <w:r>
        <w:t>CapEx</w:t>
      </w:r>
      <w:proofErr w:type="spellEnd"/>
      <w:r>
        <w:t>) to 28% by 2030 as capital spending moderates.</w:t>
      </w:r>
    </w:p>
    <w:p w14:paraId="2469FEBF" w14:textId="77777777" w:rsidR="00E50131" w:rsidRDefault="00000000">
      <w:pPr>
        <w:spacing w:before="80" w:after="80" w:line="312" w:lineRule="auto"/>
      </w:pPr>
      <w:r>
        <w:rPr>
          <w:b/>
          <w:bCs/>
        </w:rPr>
        <w:t>Terminal Growth Rate: 3.5%</w:t>
      </w:r>
    </w:p>
    <w:p w14:paraId="115EB231" w14:textId="77777777" w:rsidR="00E50131" w:rsidRDefault="00000000">
      <w:pPr>
        <w:spacing w:before="80" w:after="80" w:line="312" w:lineRule="auto"/>
      </w:pPr>
      <w:r>
        <w:t>We apply a terminal growth rate of 3.5%, above the standard 2.5–3.0% range, reflecting Alphabet’s unique positioning at the intersection of AI, cloud infrastructure, and autonomous mobility, each of which represents secular growth tailwinds that should persist well beyond the explicit forecast horizon.</w:t>
      </w:r>
    </w:p>
    <w:p w14:paraId="78E6BC3E" w14:textId="77777777" w:rsidR="00E50131" w:rsidRDefault="00000000">
      <w:pPr>
        <w:spacing w:before="80" w:after="80" w:line="312" w:lineRule="auto"/>
      </w:pPr>
      <w:r>
        <w:rPr>
          <w:b/>
          <w:bCs/>
        </w:rPr>
        <w:t>Shares Outstanding: ~12.2 billion</w:t>
      </w:r>
    </w:p>
    <w:p w14:paraId="46D08A70" w14:textId="77777777" w:rsidR="00E50131" w:rsidRDefault="00000000">
      <w:pPr>
        <w:spacing w:before="80" w:after="80" w:line="312" w:lineRule="auto"/>
      </w:pPr>
      <w:r>
        <w:t>We assume modest ongoing share buybacks, reducing the diluted share count from approximately 12.2 billion to 11.5 billion by 2035, consistent with Alphabet’s historical capital return programme.</w:t>
      </w:r>
    </w:p>
    <w:p w14:paraId="495BC487" w14:textId="77777777" w:rsidR="00E50131" w:rsidRDefault="00000000">
      <w:pPr>
        <w:spacing w:before="280" w:after="80"/>
      </w:pPr>
      <w:r>
        <w:rPr>
          <w:rFonts w:ascii="Calibri" w:eastAsia="Calibri" w:hAnsi="Calibri" w:cs="Calibri"/>
          <w:b/>
          <w:bCs/>
          <w:color w:val="2874A6"/>
          <w:sz w:val="24"/>
          <w:szCs w:val="24"/>
        </w:rPr>
        <w:t>Projected Free Cash Flow to Firm</w:t>
      </w:r>
    </w:p>
    <w:p w14:paraId="608F40B7" w14:textId="77777777" w:rsidR="00E50131" w:rsidRDefault="00E50131">
      <w:pPr>
        <w:spacing w:before="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600"/>
        <w:gridCol w:w="1600"/>
        <w:gridCol w:w="2440"/>
      </w:tblGrid>
      <w:tr w:rsidR="00E50131" w14:paraId="129CF57C" w14:textId="77777777">
        <w:trPr>
          <w:tblHeader/>
        </w:trPr>
        <w:tc>
          <w:tcPr>
            <w:tcW w:w="1200" w:type="dxa"/>
            <w:tcBorders>
              <w:top w:val="single" w:sz="8" w:space="0" w:color="1B4F72"/>
              <w:left w:val="none" w:sz="0" w:space="0" w:color="FFFFFF"/>
              <w:bottom w:val="single" w:sz="8" w:space="0" w:color="1B4F72"/>
              <w:right w:val="none" w:sz="0" w:space="0" w:color="FFFFFF"/>
            </w:tcBorders>
            <w:shd w:val="clear" w:color="auto" w:fill="1B4F72"/>
            <w:tcMar>
              <w:top w:w="70" w:type="dxa"/>
              <w:left w:w="160" w:type="dxa"/>
              <w:bottom w:w="70" w:type="dxa"/>
              <w:right w:w="100" w:type="dxa"/>
            </w:tcMar>
          </w:tcPr>
          <w:p w14:paraId="72B285DE" w14:textId="77777777" w:rsidR="00E50131" w:rsidRDefault="00000000">
            <w:r>
              <w:rPr>
                <w:rFonts w:ascii="Calibri" w:eastAsia="Calibri" w:hAnsi="Calibri" w:cs="Calibri"/>
                <w:b/>
                <w:bCs/>
                <w:color w:val="FFFFFF"/>
                <w:sz w:val="18"/>
                <w:szCs w:val="18"/>
              </w:rPr>
              <w:t>Year</w:t>
            </w:r>
          </w:p>
        </w:tc>
        <w:tc>
          <w:tcPr>
            <w:tcW w:w="1800"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45C68A3D" w14:textId="77777777" w:rsidR="00E50131" w:rsidRDefault="00000000">
            <w:pPr>
              <w:jc w:val="right"/>
            </w:pPr>
            <w:r>
              <w:rPr>
                <w:rFonts w:ascii="Calibri" w:eastAsia="Calibri" w:hAnsi="Calibri" w:cs="Calibri"/>
                <w:b/>
                <w:bCs/>
                <w:color w:val="FFFFFF"/>
                <w:sz w:val="18"/>
                <w:szCs w:val="18"/>
              </w:rPr>
              <w:t>Revenue ($B)</w:t>
            </w:r>
          </w:p>
        </w:tc>
        <w:tc>
          <w:tcPr>
            <w:tcW w:w="1600"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6CB211E9" w14:textId="77777777" w:rsidR="00E50131" w:rsidRDefault="00000000">
            <w:pPr>
              <w:jc w:val="right"/>
            </w:pPr>
            <w:r>
              <w:rPr>
                <w:rFonts w:ascii="Calibri" w:eastAsia="Calibri" w:hAnsi="Calibri" w:cs="Calibri"/>
                <w:b/>
                <w:bCs/>
                <w:color w:val="FFFFFF"/>
                <w:sz w:val="18"/>
                <w:szCs w:val="18"/>
              </w:rPr>
              <w:t>Op. Margin</w:t>
            </w:r>
          </w:p>
        </w:tc>
        <w:tc>
          <w:tcPr>
            <w:tcW w:w="1600"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066609FD" w14:textId="77777777" w:rsidR="00E50131" w:rsidRDefault="00000000">
            <w:pPr>
              <w:jc w:val="right"/>
            </w:pPr>
            <w:r>
              <w:rPr>
                <w:rFonts w:ascii="Calibri" w:eastAsia="Calibri" w:hAnsi="Calibri" w:cs="Calibri"/>
                <w:b/>
                <w:bCs/>
                <w:color w:val="FFFFFF"/>
                <w:sz w:val="18"/>
                <w:szCs w:val="18"/>
              </w:rPr>
              <w:t>FCF Margin</w:t>
            </w:r>
          </w:p>
        </w:tc>
        <w:tc>
          <w:tcPr>
            <w:tcW w:w="2440"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1399E96F" w14:textId="77777777" w:rsidR="00E50131" w:rsidRDefault="00000000">
            <w:pPr>
              <w:jc w:val="right"/>
            </w:pPr>
            <w:r>
              <w:rPr>
                <w:rFonts w:ascii="Calibri" w:eastAsia="Calibri" w:hAnsi="Calibri" w:cs="Calibri"/>
                <w:b/>
                <w:bCs/>
                <w:color w:val="FFFFFF"/>
                <w:sz w:val="18"/>
                <w:szCs w:val="18"/>
              </w:rPr>
              <w:t>FCFF ($B)</w:t>
            </w:r>
          </w:p>
        </w:tc>
      </w:tr>
      <w:tr w:rsidR="00E50131" w14:paraId="0EADCB4D" w14:textId="77777777">
        <w:tc>
          <w:tcPr>
            <w:tcW w:w="1200" w:type="dxa"/>
            <w:tcBorders>
              <w:top w:val="none" w:sz="0" w:space="0" w:color="FFFFFF"/>
              <w:left w:val="none" w:sz="0" w:space="0" w:color="FFFFFF"/>
              <w:bottom w:val="single" w:sz="2" w:space="0" w:color="D5D8DC"/>
              <w:right w:val="none" w:sz="0" w:space="0" w:color="FFFFFF"/>
            </w:tcBorders>
            <w:shd w:val="clear" w:color="auto" w:fill="F7F9FB"/>
            <w:tcMar>
              <w:top w:w="50" w:type="dxa"/>
              <w:left w:w="160" w:type="dxa"/>
              <w:bottom w:w="50" w:type="dxa"/>
              <w:right w:w="100" w:type="dxa"/>
            </w:tcMar>
          </w:tcPr>
          <w:p w14:paraId="2A824554" w14:textId="77777777" w:rsidR="00E50131" w:rsidRDefault="00000000">
            <w:pPr>
              <w:spacing w:before="20" w:after="20"/>
            </w:pPr>
            <w:r>
              <w:rPr>
                <w:rFonts w:ascii="Calibri" w:eastAsia="Calibri" w:hAnsi="Calibri" w:cs="Calibri"/>
                <w:b/>
                <w:bCs/>
                <w:color w:val="2C3E50"/>
                <w:sz w:val="18"/>
                <w:szCs w:val="18"/>
              </w:rPr>
              <w:t>2025A</w:t>
            </w:r>
          </w:p>
        </w:tc>
        <w:tc>
          <w:tcPr>
            <w:tcW w:w="180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62AA7298" w14:textId="77777777" w:rsidR="00E50131" w:rsidRDefault="00000000">
            <w:pPr>
              <w:spacing w:before="20" w:after="20"/>
              <w:jc w:val="right"/>
            </w:pPr>
            <w:r>
              <w:rPr>
                <w:rFonts w:ascii="Calibri" w:eastAsia="Calibri" w:hAnsi="Calibri" w:cs="Calibri"/>
                <w:b/>
                <w:bCs/>
                <w:color w:val="2C3E50"/>
                <w:sz w:val="18"/>
                <w:szCs w:val="18"/>
              </w:rPr>
              <w:t>$402.8</w:t>
            </w:r>
          </w:p>
        </w:tc>
        <w:tc>
          <w:tcPr>
            <w:tcW w:w="160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3FFB0B35" w14:textId="77777777" w:rsidR="00E50131" w:rsidRDefault="00000000">
            <w:pPr>
              <w:spacing w:before="20" w:after="20"/>
              <w:jc w:val="right"/>
            </w:pPr>
            <w:r>
              <w:rPr>
                <w:rFonts w:ascii="Calibri" w:eastAsia="Calibri" w:hAnsi="Calibri" w:cs="Calibri"/>
                <w:b/>
                <w:bCs/>
                <w:color w:val="2C3E50"/>
                <w:sz w:val="18"/>
                <w:szCs w:val="18"/>
              </w:rPr>
              <w:t>31.6%</w:t>
            </w:r>
          </w:p>
        </w:tc>
        <w:tc>
          <w:tcPr>
            <w:tcW w:w="160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1CE9CFDD" w14:textId="77777777" w:rsidR="00E50131" w:rsidRDefault="00000000">
            <w:pPr>
              <w:spacing w:before="20" w:after="20"/>
              <w:jc w:val="right"/>
            </w:pPr>
            <w:r>
              <w:rPr>
                <w:rFonts w:ascii="Calibri" w:eastAsia="Calibri" w:hAnsi="Calibri" w:cs="Calibri"/>
                <w:b/>
                <w:bCs/>
                <w:color w:val="2C3E50"/>
                <w:sz w:val="18"/>
                <w:szCs w:val="18"/>
              </w:rPr>
              <w:t>18.2%</w:t>
            </w:r>
          </w:p>
        </w:tc>
        <w:tc>
          <w:tcPr>
            <w:tcW w:w="244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50D8226F" w14:textId="77777777" w:rsidR="00E50131" w:rsidRDefault="00000000">
            <w:pPr>
              <w:spacing w:before="20" w:after="20"/>
              <w:jc w:val="right"/>
            </w:pPr>
            <w:r>
              <w:rPr>
                <w:rFonts w:ascii="Calibri" w:eastAsia="Calibri" w:hAnsi="Calibri" w:cs="Calibri"/>
                <w:b/>
                <w:bCs/>
                <w:color w:val="2C3E50"/>
                <w:sz w:val="18"/>
                <w:szCs w:val="18"/>
              </w:rPr>
              <w:t>$73.3</w:t>
            </w:r>
          </w:p>
        </w:tc>
      </w:tr>
      <w:tr w:rsidR="00E50131" w14:paraId="5DE03BF3" w14:textId="77777777">
        <w:tc>
          <w:tcPr>
            <w:tcW w:w="1200" w:type="dxa"/>
            <w:tcBorders>
              <w:top w:val="none" w:sz="0" w:space="0" w:color="FFFFFF"/>
              <w:left w:val="none" w:sz="0" w:space="0" w:color="FFFFFF"/>
              <w:bottom w:val="single" w:sz="2" w:space="0" w:color="D5D8DC"/>
              <w:right w:val="none" w:sz="0" w:space="0" w:color="FFFFFF"/>
            </w:tcBorders>
            <w:shd w:val="clear" w:color="auto" w:fill="FFFFFF"/>
            <w:tcMar>
              <w:top w:w="50" w:type="dxa"/>
              <w:left w:w="160" w:type="dxa"/>
              <w:bottom w:w="50" w:type="dxa"/>
              <w:right w:w="100" w:type="dxa"/>
            </w:tcMar>
          </w:tcPr>
          <w:p w14:paraId="3C5D0DAF" w14:textId="77777777" w:rsidR="00E50131" w:rsidRDefault="00000000">
            <w:pPr>
              <w:spacing w:before="20" w:after="20"/>
            </w:pPr>
            <w:r>
              <w:rPr>
                <w:rFonts w:ascii="Calibri" w:eastAsia="Calibri" w:hAnsi="Calibri" w:cs="Calibri"/>
                <w:b/>
                <w:bCs/>
                <w:color w:val="2C3E50"/>
                <w:sz w:val="18"/>
                <w:szCs w:val="18"/>
              </w:rPr>
              <w:t>2026E</w:t>
            </w:r>
          </w:p>
        </w:tc>
        <w:tc>
          <w:tcPr>
            <w:tcW w:w="180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58E2BBB4" w14:textId="77777777" w:rsidR="00E50131" w:rsidRDefault="00000000">
            <w:pPr>
              <w:spacing w:before="20" w:after="20"/>
              <w:jc w:val="right"/>
            </w:pPr>
            <w:r>
              <w:rPr>
                <w:rFonts w:ascii="Calibri" w:eastAsia="Calibri" w:hAnsi="Calibri" w:cs="Calibri"/>
                <w:b/>
                <w:bCs/>
                <w:color w:val="2C3E50"/>
                <w:sz w:val="18"/>
                <w:szCs w:val="18"/>
              </w:rPr>
              <w:t>$462</w:t>
            </w:r>
          </w:p>
        </w:tc>
        <w:tc>
          <w:tcPr>
            <w:tcW w:w="160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0D47CD06" w14:textId="77777777" w:rsidR="00E50131" w:rsidRDefault="00000000">
            <w:pPr>
              <w:spacing w:before="20" w:after="20"/>
              <w:jc w:val="right"/>
            </w:pPr>
            <w:r>
              <w:rPr>
                <w:rFonts w:ascii="Calibri" w:eastAsia="Calibri" w:hAnsi="Calibri" w:cs="Calibri"/>
                <w:b/>
                <w:bCs/>
                <w:color w:val="2C3E50"/>
                <w:sz w:val="18"/>
                <w:szCs w:val="18"/>
              </w:rPr>
              <w:t>29.0%</w:t>
            </w:r>
          </w:p>
        </w:tc>
        <w:tc>
          <w:tcPr>
            <w:tcW w:w="160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1691107C" w14:textId="77777777" w:rsidR="00E50131" w:rsidRDefault="00000000">
            <w:pPr>
              <w:spacing w:before="20" w:after="20"/>
              <w:jc w:val="right"/>
            </w:pPr>
            <w:r>
              <w:rPr>
                <w:rFonts w:ascii="Calibri" w:eastAsia="Calibri" w:hAnsi="Calibri" w:cs="Calibri"/>
                <w:b/>
                <w:bCs/>
                <w:color w:val="2C3E50"/>
                <w:sz w:val="18"/>
                <w:szCs w:val="18"/>
              </w:rPr>
              <w:t>12.0%</w:t>
            </w:r>
          </w:p>
        </w:tc>
        <w:tc>
          <w:tcPr>
            <w:tcW w:w="244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56322C74" w14:textId="77777777" w:rsidR="00E50131" w:rsidRDefault="00000000">
            <w:pPr>
              <w:spacing w:before="20" w:after="20"/>
              <w:jc w:val="right"/>
            </w:pPr>
            <w:r>
              <w:rPr>
                <w:rFonts w:ascii="Calibri" w:eastAsia="Calibri" w:hAnsi="Calibri" w:cs="Calibri"/>
                <w:b/>
                <w:bCs/>
                <w:color w:val="2C3E50"/>
                <w:sz w:val="18"/>
                <w:szCs w:val="18"/>
              </w:rPr>
              <w:t>$55.4</w:t>
            </w:r>
          </w:p>
        </w:tc>
      </w:tr>
      <w:tr w:rsidR="00E50131" w14:paraId="18E737F2" w14:textId="77777777">
        <w:tc>
          <w:tcPr>
            <w:tcW w:w="1200" w:type="dxa"/>
            <w:tcBorders>
              <w:top w:val="none" w:sz="0" w:space="0" w:color="FFFFFF"/>
              <w:left w:val="none" w:sz="0" w:space="0" w:color="FFFFFF"/>
              <w:bottom w:val="single" w:sz="2" w:space="0" w:color="D5D8DC"/>
              <w:right w:val="none" w:sz="0" w:space="0" w:color="FFFFFF"/>
            </w:tcBorders>
            <w:shd w:val="clear" w:color="auto" w:fill="F7F9FB"/>
            <w:tcMar>
              <w:top w:w="50" w:type="dxa"/>
              <w:left w:w="160" w:type="dxa"/>
              <w:bottom w:w="50" w:type="dxa"/>
              <w:right w:w="100" w:type="dxa"/>
            </w:tcMar>
          </w:tcPr>
          <w:p w14:paraId="7E68C2FF" w14:textId="77777777" w:rsidR="00E50131" w:rsidRDefault="00000000">
            <w:pPr>
              <w:spacing w:before="20" w:after="20"/>
            </w:pPr>
            <w:r>
              <w:rPr>
                <w:rFonts w:ascii="Calibri" w:eastAsia="Calibri" w:hAnsi="Calibri" w:cs="Calibri"/>
                <w:b/>
                <w:bCs/>
                <w:color w:val="2C3E50"/>
                <w:sz w:val="18"/>
                <w:szCs w:val="18"/>
              </w:rPr>
              <w:t>2027E</w:t>
            </w:r>
          </w:p>
        </w:tc>
        <w:tc>
          <w:tcPr>
            <w:tcW w:w="180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140DBC28" w14:textId="77777777" w:rsidR="00E50131" w:rsidRDefault="00000000">
            <w:pPr>
              <w:spacing w:before="20" w:after="20"/>
              <w:jc w:val="right"/>
            </w:pPr>
            <w:r>
              <w:rPr>
                <w:rFonts w:ascii="Calibri" w:eastAsia="Calibri" w:hAnsi="Calibri" w:cs="Calibri"/>
                <w:b/>
                <w:bCs/>
                <w:color w:val="2C3E50"/>
                <w:sz w:val="18"/>
                <w:szCs w:val="18"/>
              </w:rPr>
              <w:t>$527</w:t>
            </w:r>
          </w:p>
        </w:tc>
        <w:tc>
          <w:tcPr>
            <w:tcW w:w="160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6DF8063F" w14:textId="77777777" w:rsidR="00E50131" w:rsidRDefault="00000000">
            <w:pPr>
              <w:spacing w:before="20" w:after="20"/>
              <w:jc w:val="right"/>
            </w:pPr>
            <w:r>
              <w:rPr>
                <w:rFonts w:ascii="Calibri" w:eastAsia="Calibri" w:hAnsi="Calibri" w:cs="Calibri"/>
                <w:b/>
                <w:bCs/>
                <w:color w:val="2C3E50"/>
                <w:sz w:val="18"/>
                <w:szCs w:val="18"/>
              </w:rPr>
              <w:t>31.5%</w:t>
            </w:r>
          </w:p>
        </w:tc>
        <w:tc>
          <w:tcPr>
            <w:tcW w:w="160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5F14962C" w14:textId="77777777" w:rsidR="00E50131" w:rsidRDefault="00000000">
            <w:pPr>
              <w:spacing w:before="20" w:after="20"/>
              <w:jc w:val="right"/>
            </w:pPr>
            <w:r>
              <w:rPr>
                <w:rFonts w:ascii="Calibri" w:eastAsia="Calibri" w:hAnsi="Calibri" w:cs="Calibri"/>
                <w:b/>
                <w:bCs/>
                <w:color w:val="2C3E50"/>
                <w:sz w:val="18"/>
                <w:szCs w:val="18"/>
              </w:rPr>
              <w:t>18.0%</w:t>
            </w:r>
          </w:p>
        </w:tc>
        <w:tc>
          <w:tcPr>
            <w:tcW w:w="244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33D1F66B" w14:textId="77777777" w:rsidR="00E50131" w:rsidRDefault="00000000">
            <w:pPr>
              <w:spacing w:before="20" w:after="20"/>
              <w:jc w:val="right"/>
            </w:pPr>
            <w:r>
              <w:rPr>
                <w:rFonts w:ascii="Calibri" w:eastAsia="Calibri" w:hAnsi="Calibri" w:cs="Calibri"/>
                <w:b/>
                <w:bCs/>
                <w:color w:val="2C3E50"/>
                <w:sz w:val="18"/>
                <w:szCs w:val="18"/>
              </w:rPr>
              <w:t>$94.9</w:t>
            </w:r>
          </w:p>
        </w:tc>
      </w:tr>
      <w:tr w:rsidR="00E50131" w14:paraId="650E6805" w14:textId="77777777">
        <w:tc>
          <w:tcPr>
            <w:tcW w:w="1200" w:type="dxa"/>
            <w:tcBorders>
              <w:top w:val="none" w:sz="0" w:space="0" w:color="FFFFFF"/>
              <w:left w:val="none" w:sz="0" w:space="0" w:color="FFFFFF"/>
              <w:bottom w:val="single" w:sz="2" w:space="0" w:color="D5D8DC"/>
              <w:right w:val="none" w:sz="0" w:space="0" w:color="FFFFFF"/>
            </w:tcBorders>
            <w:shd w:val="clear" w:color="auto" w:fill="FFFFFF"/>
            <w:tcMar>
              <w:top w:w="50" w:type="dxa"/>
              <w:left w:w="160" w:type="dxa"/>
              <w:bottom w:w="50" w:type="dxa"/>
              <w:right w:w="100" w:type="dxa"/>
            </w:tcMar>
          </w:tcPr>
          <w:p w14:paraId="795A06EB" w14:textId="77777777" w:rsidR="00E50131" w:rsidRDefault="00000000">
            <w:pPr>
              <w:spacing w:before="20" w:after="20"/>
            </w:pPr>
            <w:r>
              <w:rPr>
                <w:rFonts w:ascii="Calibri" w:eastAsia="Calibri" w:hAnsi="Calibri" w:cs="Calibri"/>
                <w:b/>
                <w:bCs/>
                <w:color w:val="2C3E50"/>
                <w:sz w:val="18"/>
                <w:szCs w:val="18"/>
              </w:rPr>
              <w:t>2028E</w:t>
            </w:r>
          </w:p>
        </w:tc>
        <w:tc>
          <w:tcPr>
            <w:tcW w:w="180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0DC85491" w14:textId="77777777" w:rsidR="00E50131" w:rsidRDefault="00000000">
            <w:pPr>
              <w:spacing w:before="20" w:after="20"/>
              <w:jc w:val="right"/>
            </w:pPr>
            <w:r>
              <w:rPr>
                <w:rFonts w:ascii="Calibri" w:eastAsia="Calibri" w:hAnsi="Calibri" w:cs="Calibri"/>
                <w:b/>
                <w:bCs/>
                <w:color w:val="2C3E50"/>
                <w:sz w:val="18"/>
                <w:szCs w:val="18"/>
              </w:rPr>
              <w:t>$601</w:t>
            </w:r>
          </w:p>
        </w:tc>
        <w:tc>
          <w:tcPr>
            <w:tcW w:w="160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5961076E" w14:textId="77777777" w:rsidR="00E50131" w:rsidRDefault="00000000">
            <w:pPr>
              <w:spacing w:before="20" w:after="20"/>
              <w:jc w:val="right"/>
            </w:pPr>
            <w:r>
              <w:rPr>
                <w:rFonts w:ascii="Calibri" w:eastAsia="Calibri" w:hAnsi="Calibri" w:cs="Calibri"/>
                <w:b/>
                <w:bCs/>
                <w:color w:val="2C3E50"/>
                <w:sz w:val="18"/>
                <w:szCs w:val="18"/>
              </w:rPr>
              <w:t>33.5%</w:t>
            </w:r>
          </w:p>
        </w:tc>
        <w:tc>
          <w:tcPr>
            <w:tcW w:w="160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7A66EF1C" w14:textId="77777777" w:rsidR="00E50131" w:rsidRDefault="00000000">
            <w:pPr>
              <w:spacing w:before="20" w:after="20"/>
              <w:jc w:val="right"/>
            </w:pPr>
            <w:r>
              <w:rPr>
                <w:rFonts w:ascii="Calibri" w:eastAsia="Calibri" w:hAnsi="Calibri" w:cs="Calibri"/>
                <w:b/>
                <w:bCs/>
                <w:color w:val="2C3E50"/>
                <w:sz w:val="18"/>
                <w:szCs w:val="18"/>
              </w:rPr>
              <w:t>22.0%</w:t>
            </w:r>
          </w:p>
        </w:tc>
        <w:tc>
          <w:tcPr>
            <w:tcW w:w="244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59EFF171" w14:textId="77777777" w:rsidR="00E50131" w:rsidRDefault="00000000">
            <w:pPr>
              <w:spacing w:before="20" w:after="20"/>
              <w:jc w:val="right"/>
            </w:pPr>
            <w:r>
              <w:rPr>
                <w:rFonts w:ascii="Calibri" w:eastAsia="Calibri" w:hAnsi="Calibri" w:cs="Calibri"/>
                <w:b/>
                <w:bCs/>
                <w:color w:val="2C3E50"/>
                <w:sz w:val="18"/>
                <w:szCs w:val="18"/>
              </w:rPr>
              <w:t>$132.2</w:t>
            </w:r>
          </w:p>
        </w:tc>
      </w:tr>
      <w:tr w:rsidR="00E50131" w14:paraId="5C60A117" w14:textId="77777777" w:rsidTr="000B2E1E">
        <w:tc>
          <w:tcPr>
            <w:tcW w:w="1200" w:type="dxa"/>
            <w:tcBorders>
              <w:top w:val="none" w:sz="0" w:space="0" w:color="FFFFFF"/>
              <w:left w:val="none" w:sz="0" w:space="0" w:color="FFFFFF"/>
              <w:bottom w:val="nil"/>
              <w:right w:val="none" w:sz="0" w:space="0" w:color="FFFFFF"/>
            </w:tcBorders>
            <w:shd w:val="clear" w:color="auto" w:fill="F7F9FB"/>
            <w:tcMar>
              <w:top w:w="50" w:type="dxa"/>
              <w:left w:w="160" w:type="dxa"/>
              <w:bottom w:w="50" w:type="dxa"/>
              <w:right w:w="100" w:type="dxa"/>
            </w:tcMar>
          </w:tcPr>
          <w:p w14:paraId="74B97E33" w14:textId="77777777" w:rsidR="00E50131" w:rsidRDefault="00000000">
            <w:pPr>
              <w:spacing w:before="20" w:after="20"/>
            </w:pPr>
            <w:r>
              <w:rPr>
                <w:rFonts w:ascii="Calibri" w:eastAsia="Calibri" w:hAnsi="Calibri" w:cs="Calibri"/>
                <w:b/>
                <w:bCs/>
                <w:color w:val="2C3E50"/>
                <w:sz w:val="18"/>
                <w:szCs w:val="18"/>
              </w:rPr>
              <w:t>2029E</w:t>
            </w:r>
          </w:p>
        </w:tc>
        <w:tc>
          <w:tcPr>
            <w:tcW w:w="1800" w:type="dxa"/>
            <w:tcBorders>
              <w:top w:val="none" w:sz="0" w:space="0" w:color="FFFFFF"/>
              <w:left w:val="none" w:sz="0" w:space="0" w:color="FFFFFF"/>
              <w:bottom w:val="nil"/>
              <w:right w:val="none" w:sz="0" w:space="0" w:color="FFFFFF"/>
            </w:tcBorders>
            <w:shd w:val="clear" w:color="auto" w:fill="F7F9FB"/>
            <w:tcMar>
              <w:top w:w="50" w:type="dxa"/>
              <w:left w:w="100" w:type="dxa"/>
              <w:bottom w:w="50" w:type="dxa"/>
              <w:right w:w="100" w:type="dxa"/>
            </w:tcMar>
          </w:tcPr>
          <w:p w14:paraId="0B2B6A6F" w14:textId="77777777" w:rsidR="00E50131" w:rsidRDefault="00000000">
            <w:pPr>
              <w:spacing w:before="20" w:after="20"/>
              <w:jc w:val="right"/>
            </w:pPr>
            <w:r>
              <w:rPr>
                <w:rFonts w:ascii="Calibri" w:eastAsia="Calibri" w:hAnsi="Calibri" w:cs="Calibri"/>
                <w:b/>
                <w:bCs/>
                <w:color w:val="2C3E50"/>
                <w:sz w:val="18"/>
                <w:szCs w:val="18"/>
              </w:rPr>
              <w:t>$680</w:t>
            </w:r>
          </w:p>
        </w:tc>
        <w:tc>
          <w:tcPr>
            <w:tcW w:w="1600" w:type="dxa"/>
            <w:tcBorders>
              <w:top w:val="none" w:sz="0" w:space="0" w:color="FFFFFF"/>
              <w:left w:val="none" w:sz="0" w:space="0" w:color="FFFFFF"/>
              <w:bottom w:val="nil"/>
              <w:right w:val="none" w:sz="0" w:space="0" w:color="FFFFFF"/>
            </w:tcBorders>
            <w:shd w:val="clear" w:color="auto" w:fill="F7F9FB"/>
            <w:tcMar>
              <w:top w:w="50" w:type="dxa"/>
              <w:left w:w="100" w:type="dxa"/>
              <w:bottom w:w="50" w:type="dxa"/>
              <w:right w:w="100" w:type="dxa"/>
            </w:tcMar>
          </w:tcPr>
          <w:p w14:paraId="1B9EDA33" w14:textId="77777777" w:rsidR="00E50131" w:rsidRDefault="00000000">
            <w:pPr>
              <w:spacing w:before="20" w:after="20"/>
              <w:jc w:val="right"/>
            </w:pPr>
            <w:r>
              <w:rPr>
                <w:rFonts w:ascii="Calibri" w:eastAsia="Calibri" w:hAnsi="Calibri" w:cs="Calibri"/>
                <w:b/>
                <w:bCs/>
                <w:color w:val="2C3E50"/>
                <w:sz w:val="18"/>
                <w:szCs w:val="18"/>
              </w:rPr>
              <w:t>35.5%</w:t>
            </w:r>
          </w:p>
        </w:tc>
        <w:tc>
          <w:tcPr>
            <w:tcW w:w="1600" w:type="dxa"/>
            <w:tcBorders>
              <w:top w:val="none" w:sz="0" w:space="0" w:color="FFFFFF"/>
              <w:left w:val="none" w:sz="0" w:space="0" w:color="FFFFFF"/>
              <w:bottom w:val="nil"/>
              <w:right w:val="none" w:sz="0" w:space="0" w:color="FFFFFF"/>
            </w:tcBorders>
            <w:shd w:val="clear" w:color="auto" w:fill="F7F9FB"/>
            <w:tcMar>
              <w:top w:w="50" w:type="dxa"/>
              <w:left w:w="100" w:type="dxa"/>
              <w:bottom w:w="50" w:type="dxa"/>
              <w:right w:w="100" w:type="dxa"/>
            </w:tcMar>
          </w:tcPr>
          <w:p w14:paraId="3825A102" w14:textId="77777777" w:rsidR="00E50131" w:rsidRDefault="00000000">
            <w:pPr>
              <w:spacing w:before="20" w:after="20"/>
              <w:jc w:val="right"/>
            </w:pPr>
            <w:r>
              <w:rPr>
                <w:rFonts w:ascii="Calibri" w:eastAsia="Calibri" w:hAnsi="Calibri" w:cs="Calibri"/>
                <w:b/>
                <w:bCs/>
                <w:color w:val="2C3E50"/>
                <w:sz w:val="18"/>
                <w:szCs w:val="18"/>
              </w:rPr>
              <w:t>25.0%</w:t>
            </w:r>
          </w:p>
        </w:tc>
        <w:tc>
          <w:tcPr>
            <w:tcW w:w="2440" w:type="dxa"/>
            <w:tcBorders>
              <w:top w:val="none" w:sz="0" w:space="0" w:color="FFFFFF"/>
              <w:left w:val="none" w:sz="0" w:space="0" w:color="FFFFFF"/>
              <w:bottom w:val="nil"/>
              <w:right w:val="none" w:sz="0" w:space="0" w:color="FFFFFF"/>
            </w:tcBorders>
            <w:shd w:val="clear" w:color="auto" w:fill="F7F9FB"/>
            <w:tcMar>
              <w:top w:w="50" w:type="dxa"/>
              <w:left w:w="100" w:type="dxa"/>
              <w:bottom w:w="50" w:type="dxa"/>
              <w:right w:w="100" w:type="dxa"/>
            </w:tcMar>
          </w:tcPr>
          <w:p w14:paraId="169E9256" w14:textId="77777777" w:rsidR="00E50131" w:rsidRDefault="00000000">
            <w:pPr>
              <w:spacing w:before="20" w:after="20"/>
              <w:jc w:val="right"/>
            </w:pPr>
            <w:r>
              <w:rPr>
                <w:rFonts w:ascii="Calibri" w:eastAsia="Calibri" w:hAnsi="Calibri" w:cs="Calibri"/>
                <w:b/>
                <w:bCs/>
                <w:color w:val="2C3E50"/>
                <w:sz w:val="18"/>
                <w:szCs w:val="18"/>
              </w:rPr>
              <w:t>$170.0</w:t>
            </w:r>
          </w:p>
        </w:tc>
      </w:tr>
      <w:tr w:rsidR="00E50131" w14:paraId="7948F76B" w14:textId="77777777" w:rsidTr="000B2E1E">
        <w:tc>
          <w:tcPr>
            <w:tcW w:w="1200" w:type="dxa"/>
            <w:tcBorders>
              <w:top w:val="nil"/>
              <w:left w:val="nil"/>
              <w:bottom w:val="nil"/>
              <w:right w:val="nil"/>
            </w:tcBorders>
            <w:shd w:val="clear" w:color="auto" w:fill="E8F0FE"/>
            <w:tcMar>
              <w:top w:w="50" w:type="dxa"/>
              <w:left w:w="160" w:type="dxa"/>
              <w:bottom w:w="50" w:type="dxa"/>
              <w:right w:w="100" w:type="dxa"/>
            </w:tcMar>
          </w:tcPr>
          <w:p w14:paraId="0210E3E0" w14:textId="77777777" w:rsidR="00E50131" w:rsidRDefault="00000000">
            <w:pPr>
              <w:spacing w:before="20" w:after="20"/>
            </w:pPr>
            <w:r>
              <w:rPr>
                <w:rFonts w:ascii="Calibri" w:eastAsia="Calibri" w:hAnsi="Calibri" w:cs="Calibri"/>
                <w:b/>
                <w:bCs/>
                <w:color w:val="1B4F72"/>
                <w:sz w:val="18"/>
                <w:szCs w:val="18"/>
              </w:rPr>
              <w:lastRenderedPageBreak/>
              <w:t>2030E</w:t>
            </w:r>
          </w:p>
        </w:tc>
        <w:tc>
          <w:tcPr>
            <w:tcW w:w="1800" w:type="dxa"/>
            <w:tcBorders>
              <w:top w:val="nil"/>
              <w:left w:val="nil"/>
              <w:bottom w:val="nil"/>
              <w:right w:val="nil"/>
            </w:tcBorders>
            <w:shd w:val="clear" w:color="auto" w:fill="E8F0FE"/>
            <w:tcMar>
              <w:top w:w="50" w:type="dxa"/>
              <w:left w:w="100" w:type="dxa"/>
              <w:bottom w:w="50" w:type="dxa"/>
              <w:right w:w="100" w:type="dxa"/>
            </w:tcMar>
          </w:tcPr>
          <w:p w14:paraId="5D02A6CB" w14:textId="77777777" w:rsidR="00E50131" w:rsidRDefault="00000000">
            <w:pPr>
              <w:spacing w:before="20" w:after="20"/>
              <w:jc w:val="right"/>
            </w:pPr>
            <w:r>
              <w:rPr>
                <w:rFonts w:ascii="Calibri" w:eastAsia="Calibri" w:hAnsi="Calibri" w:cs="Calibri"/>
                <w:b/>
                <w:bCs/>
                <w:color w:val="1B4F72"/>
                <w:sz w:val="18"/>
                <w:szCs w:val="18"/>
              </w:rPr>
              <w:t>$766</w:t>
            </w:r>
          </w:p>
        </w:tc>
        <w:tc>
          <w:tcPr>
            <w:tcW w:w="1600" w:type="dxa"/>
            <w:tcBorders>
              <w:top w:val="nil"/>
              <w:left w:val="nil"/>
              <w:bottom w:val="nil"/>
              <w:right w:val="nil"/>
            </w:tcBorders>
            <w:shd w:val="clear" w:color="auto" w:fill="E8F0FE"/>
            <w:tcMar>
              <w:top w:w="50" w:type="dxa"/>
              <w:left w:w="100" w:type="dxa"/>
              <w:bottom w:w="50" w:type="dxa"/>
              <w:right w:w="100" w:type="dxa"/>
            </w:tcMar>
          </w:tcPr>
          <w:p w14:paraId="49C5B036" w14:textId="77777777" w:rsidR="00E50131" w:rsidRDefault="00000000">
            <w:pPr>
              <w:spacing w:before="20" w:after="20"/>
              <w:jc w:val="right"/>
            </w:pPr>
            <w:r>
              <w:rPr>
                <w:rFonts w:ascii="Calibri" w:eastAsia="Calibri" w:hAnsi="Calibri" w:cs="Calibri"/>
                <w:b/>
                <w:bCs/>
                <w:color w:val="1B4F72"/>
                <w:sz w:val="18"/>
                <w:szCs w:val="18"/>
              </w:rPr>
              <w:t>37.0%</w:t>
            </w:r>
          </w:p>
        </w:tc>
        <w:tc>
          <w:tcPr>
            <w:tcW w:w="1600" w:type="dxa"/>
            <w:tcBorders>
              <w:top w:val="nil"/>
              <w:left w:val="nil"/>
              <w:bottom w:val="nil"/>
              <w:right w:val="nil"/>
            </w:tcBorders>
            <w:shd w:val="clear" w:color="auto" w:fill="E8F0FE"/>
            <w:tcMar>
              <w:top w:w="50" w:type="dxa"/>
              <w:left w:w="100" w:type="dxa"/>
              <w:bottom w:w="50" w:type="dxa"/>
              <w:right w:w="100" w:type="dxa"/>
            </w:tcMar>
          </w:tcPr>
          <w:p w14:paraId="4005D8C4" w14:textId="77777777" w:rsidR="00E50131" w:rsidRDefault="00000000">
            <w:pPr>
              <w:spacing w:before="20" w:after="20"/>
              <w:jc w:val="right"/>
            </w:pPr>
            <w:r>
              <w:rPr>
                <w:rFonts w:ascii="Calibri" w:eastAsia="Calibri" w:hAnsi="Calibri" w:cs="Calibri"/>
                <w:b/>
                <w:bCs/>
                <w:color w:val="1B4F72"/>
                <w:sz w:val="18"/>
                <w:szCs w:val="18"/>
              </w:rPr>
              <w:t>28.0%</w:t>
            </w:r>
          </w:p>
        </w:tc>
        <w:tc>
          <w:tcPr>
            <w:tcW w:w="2440" w:type="dxa"/>
            <w:tcBorders>
              <w:top w:val="nil"/>
              <w:left w:val="nil"/>
              <w:bottom w:val="nil"/>
              <w:right w:val="nil"/>
            </w:tcBorders>
            <w:shd w:val="clear" w:color="auto" w:fill="E8F0FE"/>
            <w:tcMar>
              <w:top w:w="50" w:type="dxa"/>
              <w:left w:w="100" w:type="dxa"/>
              <w:bottom w:w="50" w:type="dxa"/>
              <w:right w:w="100" w:type="dxa"/>
            </w:tcMar>
          </w:tcPr>
          <w:p w14:paraId="3B59A62E" w14:textId="77777777" w:rsidR="00E50131" w:rsidRDefault="00000000">
            <w:pPr>
              <w:spacing w:before="20" w:after="20"/>
              <w:jc w:val="right"/>
            </w:pPr>
            <w:r>
              <w:rPr>
                <w:rFonts w:ascii="Calibri" w:eastAsia="Calibri" w:hAnsi="Calibri" w:cs="Calibri"/>
                <w:b/>
                <w:bCs/>
                <w:color w:val="1B4F72"/>
                <w:sz w:val="18"/>
                <w:szCs w:val="18"/>
              </w:rPr>
              <w:t>$214.5</w:t>
            </w:r>
          </w:p>
        </w:tc>
      </w:tr>
      <w:tr w:rsidR="00E50131" w14:paraId="2DD976AA" w14:textId="77777777" w:rsidTr="000B2E1E">
        <w:tc>
          <w:tcPr>
            <w:tcW w:w="1200" w:type="dxa"/>
            <w:tcBorders>
              <w:top w:val="nil"/>
              <w:left w:val="nil"/>
              <w:bottom w:val="nil"/>
              <w:right w:val="nil"/>
            </w:tcBorders>
            <w:shd w:val="clear" w:color="auto" w:fill="F7F9FB"/>
            <w:tcMar>
              <w:top w:w="50" w:type="dxa"/>
              <w:left w:w="160" w:type="dxa"/>
              <w:bottom w:w="50" w:type="dxa"/>
              <w:right w:w="100" w:type="dxa"/>
            </w:tcMar>
          </w:tcPr>
          <w:p w14:paraId="7F48B35C" w14:textId="77777777" w:rsidR="00E50131" w:rsidRDefault="00000000">
            <w:pPr>
              <w:spacing w:before="20" w:after="20"/>
            </w:pPr>
            <w:r>
              <w:rPr>
                <w:rFonts w:ascii="Calibri" w:eastAsia="Calibri" w:hAnsi="Calibri" w:cs="Calibri"/>
                <w:b/>
                <w:bCs/>
                <w:color w:val="2C3E50"/>
                <w:sz w:val="18"/>
                <w:szCs w:val="18"/>
              </w:rPr>
              <w:t>2031E</w:t>
            </w:r>
          </w:p>
        </w:tc>
        <w:tc>
          <w:tcPr>
            <w:tcW w:w="1800" w:type="dxa"/>
            <w:tcBorders>
              <w:top w:val="nil"/>
              <w:left w:val="nil"/>
              <w:bottom w:val="nil"/>
              <w:right w:val="nil"/>
            </w:tcBorders>
            <w:shd w:val="clear" w:color="auto" w:fill="F7F9FB"/>
            <w:tcMar>
              <w:top w:w="50" w:type="dxa"/>
              <w:left w:w="100" w:type="dxa"/>
              <w:bottom w:w="50" w:type="dxa"/>
              <w:right w:w="100" w:type="dxa"/>
            </w:tcMar>
          </w:tcPr>
          <w:p w14:paraId="2315DB6A" w14:textId="77777777" w:rsidR="00E50131" w:rsidRDefault="00000000">
            <w:pPr>
              <w:spacing w:before="20" w:after="20"/>
              <w:jc w:val="right"/>
            </w:pPr>
            <w:r>
              <w:rPr>
                <w:rFonts w:ascii="Calibri" w:eastAsia="Calibri" w:hAnsi="Calibri" w:cs="Calibri"/>
                <w:b/>
                <w:bCs/>
                <w:color w:val="2C3E50"/>
                <w:sz w:val="18"/>
                <w:szCs w:val="18"/>
              </w:rPr>
              <w:t>$843</w:t>
            </w:r>
          </w:p>
        </w:tc>
        <w:tc>
          <w:tcPr>
            <w:tcW w:w="1600" w:type="dxa"/>
            <w:tcBorders>
              <w:top w:val="nil"/>
              <w:left w:val="nil"/>
              <w:bottom w:val="nil"/>
              <w:right w:val="nil"/>
            </w:tcBorders>
            <w:shd w:val="clear" w:color="auto" w:fill="F7F9FB"/>
            <w:tcMar>
              <w:top w:w="50" w:type="dxa"/>
              <w:left w:w="100" w:type="dxa"/>
              <w:bottom w:w="50" w:type="dxa"/>
              <w:right w:w="100" w:type="dxa"/>
            </w:tcMar>
          </w:tcPr>
          <w:p w14:paraId="188F4940" w14:textId="77777777" w:rsidR="00E50131" w:rsidRDefault="00000000">
            <w:pPr>
              <w:spacing w:before="20" w:after="20"/>
              <w:jc w:val="right"/>
            </w:pPr>
            <w:r>
              <w:rPr>
                <w:rFonts w:ascii="Calibri" w:eastAsia="Calibri" w:hAnsi="Calibri" w:cs="Calibri"/>
                <w:b/>
                <w:bCs/>
                <w:color w:val="2C3E50"/>
                <w:sz w:val="18"/>
                <w:szCs w:val="18"/>
              </w:rPr>
              <w:t>37.5%</w:t>
            </w:r>
          </w:p>
        </w:tc>
        <w:tc>
          <w:tcPr>
            <w:tcW w:w="1600" w:type="dxa"/>
            <w:tcBorders>
              <w:top w:val="nil"/>
              <w:left w:val="nil"/>
              <w:bottom w:val="nil"/>
              <w:right w:val="nil"/>
            </w:tcBorders>
            <w:shd w:val="clear" w:color="auto" w:fill="F7F9FB"/>
            <w:tcMar>
              <w:top w:w="50" w:type="dxa"/>
              <w:left w:w="100" w:type="dxa"/>
              <w:bottom w:w="50" w:type="dxa"/>
              <w:right w:w="100" w:type="dxa"/>
            </w:tcMar>
          </w:tcPr>
          <w:p w14:paraId="4BF9EAA0" w14:textId="77777777" w:rsidR="00E50131" w:rsidRDefault="00000000">
            <w:pPr>
              <w:spacing w:before="20" w:after="20"/>
              <w:jc w:val="right"/>
            </w:pPr>
            <w:r>
              <w:rPr>
                <w:rFonts w:ascii="Calibri" w:eastAsia="Calibri" w:hAnsi="Calibri" w:cs="Calibri"/>
                <w:b/>
                <w:bCs/>
                <w:color w:val="2C3E50"/>
                <w:sz w:val="18"/>
                <w:szCs w:val="18"/>
              </w:rPr>
              <w:t>29.0%</w:t>
            </w:r>
          </w:p>
        </w:tc>
        <w:tc>
          <w:tcPr>
            <w:tcW w:w="2440" w:type="dxa"/>
            <w:tcBorders>
              <w:top w:val="nil"/>
              <w:left w:val="nil"/>
              <w:bottom w:val="nil"/>
              <w:right w:val="nil"/>
            </w:tcBorders>
            <w:shd w:val="clear" w:color="auto" w:fill="F7F9FB"/>
            <w:tcMar>
              <w:top w:w="50" w:type="dxa"/>
              <w:left w:w="100" w:type="dxa"/>
              <w:bottom w:w="50" w:type="dxa"/>
              <w:right w:w="100" w:type="dxa"/>
            </w:tcMar>
          </w:tcPr>
          <w:p w14:paraId="4DAAD5D0" w14:textId="77777777" w:rsidR="00E50131" w:rsidRDefault="00000000">
            <w:pPr>
              <w:spacing w:before="20" w:after="20"/>
              <w:jc w:val="right"/>
            </w:pPr>
            <w:r>
              <w:rPr>
                <w:rFonts w:ascii="Calibri" w:eastAsia="Calibri" w:hAnsi="Calibri" w:cs="Calibri"/>
                <w:b/>
                <w:bCs/>
                <w:color w:val="2C3E50"/>
                <w:sz w:val="18"/>
                <w:szCs w:val="18"/>
              </w:rPr>
              <w:t>$244.5</w:t>
            </w:r>
          </w:p>
        </w:tc>
      </w:tr>
      <w:tr w:rsidR="00E50131" w14:paraId="655B99D2" w14:textId="77777777" w:rsidTr="000B2E1E">
        <w:tc>
          <w:tcPr>
            <w:tcW w:w="1200" w:type="dxa"/>
            <w:tcBorders>
              <w:top w:val="nil"/>
              <w:left w:val="nil"/>
              <w:bottom w:val="nil"/>
              <w:right w:val="nil"/>
            </w:tcBorders>
            <w:shd w:val="clear" w:color="auto" w:fill="FFFFFF"/>
            <w:tcMar>
              <w:top w:w="50" w:type="dxa"/>
              <w:left w:w="160" w:type="dxa"/>
              <w:bottom w:w="50" w:type="dxa"/>
              <w:right w:w="100" w:type="dxa"/>
            </w:tcMar>
          </w:tcPr>
          <w:p w14:paraId="0AAA1308" w14:textId="77777777" w:rsidR="00E50131" w:rsidRDefault="00000000">
            <w:pPr>
              <w:spacing w:before="20" w:after="20"/>
            </w:pPr>
            <w:r>
              <w:rPr>
                <w:rFonts w:ascii="Calibri" w:eastAsia="Calibri" w:hAnsi="Calibri" w:cs="Calibri"/>
                <w:b/>
                <w:bCs/>
                <w:color w:val="2C3E50"/>
                <w:sz w:val="18"/>
                <w:szCs w:val="18"/>
              </w:rPr>
              <w:t>2032E</w:t>
            </w:r>
          </w:p>
        </w:tc>
        <w:tc>
          <w:tcPr>
            <w:tcW w:w="1800" w:type="dxa"/>
            <w:tcBorders>
              <w:top w:val="nil"/>
              <w:left w:val="nil"/>
              <w:bottom w:val="nil"/>
              <w:right w:val="nil"/>
            </w:tcBorders>
            <w:shd w:val="clear" w:color="auto" w:fill="FFFFFF"/>
            <w:tcMar>
              <w:top w:w="50" w:type="dxa"/>
              <w:left w:w="100" w:type="dxa"/>
              <w:bottom w:w="50" w:type="dxa"/>
              <w:right w:w="100" w:type="dxa"/>
            </w:tcMar>
          </w:tcPr>
          <w:p w14:paraId="39A8C105" w14:textId="77777777" w:rsidR="00E50131" w:rsidRDefault="00000000">
            <w:pPr>
              <w:spacing w:before="20" w:after="20"/>
              <w:jc w:val="right"/>
            </w:pPr>
            <w:r>
              <w:rPr>
                <w:rFonts w:ascii="Calibri" w:eastAsia="Calibri" w:hAnsi="Calibri" w:cs="Calibri"/>
                <w:b/>
                <w:bCs/>
                <w:color w:val="2C3E50"/>
                <w:sz w:val="18"/>
                <w:szCs w:val="18"/>
              </w:rPr>
              <w:t>$927</w:t>
            </w:r>
          </w:p>
        </w:tc>
        <w:tc>
          <w:tcPr>
            <w:tcW w:w="1600" w:type="dxa"/>
            <w:tcBorders>
              <w:top w:val="nil"/>
              <w:left w:val="nil"/>
              <w:bottom w:val="nil"/>
              <w:right w:val="nil"/>
            </w:tcBorders>
            <w:shd w:val="clear" w:color="auto" w:fill="FFFFFF"/>
            <w:tcMar>
              <w:top w:w="50" w:type="dxa"/>
              <w:left w:w="100" w:type="dxa"/>
              <w:bottom w:w="50" w:type="dxa"/>
              <w:right w:w="100" w:type="dxa"/>
            </w:tcMar>
          </w:tcPr>
          <w:p w14:paraId="1A01AF9D" w14:textId="77777777" w:rsidR="00E50131" w:rsidRDefault="00000000">
            <w:pPr>
              <w:spacing w:before="20" w:after="20"/>
              <w:jc w:val="right"/>
            </w:pPr>
            <w:r>
              <w:rPr>
                <w:rFonts w:ascii="Calibri" w:eastAsia="Calibri" w:hAnsi="Calibri" w:cs="Calibri"/>
                <w:b/>
                <w:bCs/>
                <w:color w:val="2C3E50"/>
                <w:sz w:val="18"/>
                <w:szCs w:val="18"/>
              </w:rPr>
              <w:t>38.0%</w:t>
            </w:r>
          </w:p>
        </w:tc>
        <w:tc>
          <w:tcPr>
            <w:tcW w:w="1600" w:type="dxa"/>
            <w:tcBorders>
              <w:top w:val="nil"/>
              <w:left w:val="nil"/>
              <w:bottom w:val="nil"/>
              <w:right w:val="nil"/>
            </w:tcBorders>
            <w:shd w:val="clear" w:color="auto" w:fill="FFFFFF"/>
            <w:tcMar>
              <w:top w:w="50" w:type="dxa"/>
              <w:left w:w="100" w:type="dxa"/>
              <w:bottom w:w="50" w:type="dxa"/>
              <w:right w:w="100" w:type="dxa"/>
            </w:tcMar>
          </w:tcPr>
          <w:p w14:paraId="4DBAE8DC" w14:textId="77777777" w:rsidR="00E50131" w:rsidRDefault="00000000">
            <w:pPr>
              <w:spacing w:before="20" w:after="20"/>
              <w:jc w:val="right"/>
            </w:pPr>
            <w:r>
              <w:rPr>
                <w:rFonts w:ascii="Calibri" w:eastAsia="Calibri" w:hAnsi="Calibri" w:cs="Calibri"/>
                <w:b/>
                <w:bCs/>
                <w:color w:val="2C3E50"/>
                <w:sz w:val="18"/>
                <w:szCs w:val="18"/>
              </w:rPr>
              <w:t>30.0%</w:t>
            </w:r>
          </w:p>
        </w:tc>
        <w:tc>
          <w:tcPr>
            <w:tcW w:w="2440" w:type="dxa"/>
            <w:tcBorders>
              <w:top w:val="nil"/>
              <w:left w:val="nil"/>
              <w:bottom w:val="nil"/>
              <w:right w:val="nil"/>
            </w:tcBorders>
            <w:shd w:val="clear" w:color="auto" w:fill="FFFFFF"/>
            <w:tcMar>
              <w:top w:w="50" w:type="dxa"/>
              <w:left w:w="100" w:type="dxa"/>
              <w:bottom w:w="50" w:type="dxa"/>
              <w:right w:w="100" w:type="dxa"/>
            </w:tcMar>
          </w:tcPr>
          <w:p w14:paraId="16841D10" w14:textId="77777777" w:rsidR="00E50131" w:rsidRDefault="00000000">
            <w:pPr>
              <w:spacing w:before="20" w:after="20"/>
              <w:jc w:val="right"/>
            </w:pPr>
            <w:r>
              <w:rPr>
                <w:rFonts w:ascii="Calibri" w:eastAsia="Calibri" w:hAnsi="Calibri" w:cs="Calibri"/>
                <w:b/>
                <w:bCs/>
                <w:color w:val="2C3E50"/>
                <w:sz w:val="18"/>
                <w:szCs w:val="18"/>
              </w:rPr>
              <w:t>$278.1</w:t>
            </w:r>
          </w:p>
        </w:tc>
      </w:tr>
      <w:tr w:rsidR="00E50131" w14:paraId="683199E8" w14:textId="77777777" w:rsidTr="000B2E1E">
        <w:tc>
          <w:tcPr>
            <w:tcW w:w="1200" w:type="dxa"/>
            <w:tcBorders>
              <w:top w:val="nil"/>
              <w:left w:val="nil"/>
              <w:bottom w:val="nil"/>
              <w:right w:val="nil"/>
            </w:tcBorders>
            <w:shd w:val="clear" w:color="auto" w:fill="F7F9FB"/>
            <w:tcMar>
              <w:top w:w="50" w:type="dxa"/>
              <w:left w:w="160" w:type="dxa"/>
              <w:bottom w:w="50" w:type="dxa"/>
              <w:right w:w="100" w:type="dxa"/>
            </w:tcMar>
          </w:tcPr>
          <w:p w14:paraId="0628F12C" w14:textId="77777777" w:rsidR="00E50131" w:rsidRDefault="00000000">
            <w:pPr>
              <w:spacing w:before="20" w:after="20"/>
            </w:pPr>
            <w:r>
              <w:rPr>
                <w:rFonts w:ascii="Calibri" w:eastAsia="Calibri" w:hAnsi="Calibri" w:cs="Calibri"/>
                <w:b/>
                <w:bCs/>
                <w:color w:val="2C3E50"/>
                <w:sz w:val="18"/>
                <w:szCs w:val="18"/>
              </w:rPr>
              <w:t>2033E</w:t>
            </w:r>
          </w:p>
        </w:tc>
        <w:tc>
          <w:tcPr>
            <w:tcW w:w="1800" w:type="dxa"/>
            <w:tcBorders>
              <w:top w:val="nil"/>
              <w:left w:val="nil"/>
              <w:bottom w:val="nil"/>
              <w:right w:val="nil"/>
            </w:tcBorders>
            <w:shd w:val="clear" w:color="auto" w:fill="F7F9FB"/>
            <w:tcMar>
              <w:top w:w="50" w:type="dxa"/>
              <w:left w:w="100" w:type="dxa"/>
              <w:bottom w:w="50" w:type="dxa"/>
              <w:right w:w="100" w:type="dxa"/>
            </w:tcMar>
          </w:tcPr>
          <w:p w14:paraId="6BB8DD54" w14:textId="77777777" w:rsidR="00E50131" w:rsidRDefault="00000000">
            <w:pPr>
              <w:spacing w:before="20" w:after="20"/>
              <w:jc w:val="right"/>
            </w:pPr>
            <w:r>
              <w:rPr>
                <w:rFonts w:ascii="Calibri" w:eastAsia="Calibri" w:hAnsi="Calibri" w:cs="Calibri"/>
                <w:b/>
                <w:bCs/>
                <w:color w:val="2C3E50"/>
                <w:sz w:val="18"/>
                <w:szCs w:val="18"/>
              </w:rPr>
              <w:t>$1,020</w:t>
            </w:r>
          </w:p>
        </w:tc>
        <w:tc>
          <w:tcPr>
            <w:tcW w:w="1600" w:type="dxa"/>
            <w:tcBorders>
              <w:top w:val="nil"/>
              <w:left w:val="nil"/>
              <w:bottom w:val="nil"/>
              <w:right w:val="nil"/>
            </w:tcBorders>
            <w:shd w:val="clear" w:color="auto" w:fill="F7F9FB"/>
            <w:tcMar>
              <w:top w:w="50" w:type="dxa"/>
              <w:left w:w="100" w:type="dxa"/>
              <w:bottom w:w="50" w:type="dxa"/>
              <w:right w:w="100" w:type="dxa"/>
            </w:tcMar>
          </w:tcPr>
          <w:p w14:paraId="2E0FD022" w14:textId="77777777" w:rsidR="00E50131" w:rsidRDefault="00000000">
            <w:pPr>
              <w:spacing w:before="20" w:after="20"/>
              <w:jc w:val="right"/>
            </w:pPr>
            <w:r>
              <w:rPr>
                <w:rFonts w:ascii="Calibri" w:eastAsia="Calibri" w:hAnsi="Calibri" w:cs="Calibri"/>
                <w:b/>
                <w:bCs/>
                <w:color w:val="2C3E50"/>
                <w:sz w:val="18"/>
                <w:szCs w:val="18"/>
              </w:rPr>
              <w:t>39.0%</w:t>
            </w:r>
          </w:p>
        </w:tc>
        <w:tc>
          <w:tcPr>
            <w:tcW w:w="1600" w:type="dxa"/>
            <w:tcBorders>
              <w:top w:val="nil"/>
              <w:left w:val="nil"/>
              <w:bottom w:val="nil"/>
              <w:right w:val="nil"/>
            </w:tcBorders>
            <w:shd w:val="clear" w:color="auto" w:fill="F7F9FB"/>
            <w:tcMar>
              <w:top w:w="50" w:type="dxa"/>
              <w:left w:w="100" w:type="dxa"/>
              <w:bottom w:w="50" w:type="dxa"/>
              <w:right w:w="100" w:type="dxa"/>
            </w:tcMar>
          </w:tcPr>
          <w:p w14:paraId="2FB0827E" w14:textId="77777777" w:rsidR="00E50131" w:rsidRDefault="00000000">
            <w:pPr>
              <w:spacing w:before="20" w:after="20"/>
              <w:jc w:val="right"/>
            </w:pPr>
            <w:r>
              <w:rPr>
                <w:rFonts w:ascii="Calibri" w:eastAsia="Calibri" w:hAnsi="Calibri" w:cs="Calibri"/>
                <w:b/>
                <w:bCs/>
                <w:color w:val="2C3E50"/>
                <w:sz w:val="18"/>
                <w:szCs w:val="18"/>
              </w:rPr>
              <w:t>31.0%</w:t>
            </w:r>
          </w:p>
        </w:tc>
        <w:tc>
          <w:tcPr>
            <w:tcW w:w="2440" w:type="dxa"/>
            <w:tcBorders>
              <w:top w:val="nil"/>
              <w:left w:val="nil"/>
              <w:bottom w:val="nil"/>
              <w:right w:val="nil"/>
            </w:tcBorders>
            <w:shd w:val="clear" w:color="auto" w:fill="F7F9FB"/>
            <w:tcMar>
              <w:top w:w="50" w:type="dxa"/>
              <w:left w:w="100" w:type="dxa"/>
              <w:bottom w:w="50" w:type="dxa"/>
              <w:right w:w="100" w:type="dxa"/>
            </w:tcMar>
          </w:tcPr>
          <w:p w14:paraId="218AE2F5" w14:textId="77777777" w:rsidR="00E50131" w:rsidRDefault="00000000">
            <w:pPr>
              <w:spacing w:before="20" w:after="20"/>
              <w:jc w:val="right"/>
            </w:pPr>
            <w:r>
              <w:rPr>
                <w:rFonts w:ascii="Calibri" w:eastAsia="Calibri" w:hAnsi="Calibri" w:cs="Calibri"/>
                <w:b/>
                <w:bCs/>
                <w:color w:val="2C3E50"/>
                <w:sz w:val="18"/>
                <w:szCs w:val="18"/>
              </w:rPr>
              <w:t>$316.2</w:t>
            </w:r>
          </w:p>
        </w:tc>
      </w:tr>
      <w:tr w:rsidR="00E50131" w14:paraId="6D62946E" w14:textId="77777777" w:rsidTr="000B2E1E">
        <w:tc>
          <w:tcPr>
            <w:tcW w:w="1200" w:type="dxa"/>
            <w:tcBorders>
              <w:top w:val="nil"/>
              <w:left w:val="nil"/>
              <w:bottom w:val="nil"/>
              <w:right w:val="nil"/>
            </w:tcBorders>
            <w:shd w:val="clear" w:color="auto" w:fill="FFFFFF"/>
            <w:tcMar>
              <w:top w:w="50" w:type="dxa"/>
              <w:left w:w="160" w:type="dxa"/>
              <w:bottom w:w="50" w:type="dxa"/>
              <w:right w:w="100" w:type="dxa"/>
            </w:tcMar>
          </w:tcPr>
          <w:p w14:paraId="51EA4F5E" w14:textId="77777777" w:rsidR="00E50131" w:rsidRDefault="00000000">
            <w:pPr>
              <w:spacing w:before="20" w:after="20"/>
            </w:pPr>
            <w:r>
              <w:rPr>
                <w:rFonts w:ascii="Calibri" w:eastAsia="Calibri" w:hAnsi="Calibri" w:cs="Calibri"/>
                <w:b/>
                <w:bCs/>
                <w:color w:val="2C3E50"/>
                <w:sz w:val="18"/>
                <w:szCs w:val="18"/>
              </w:rPr>
              <w:t>2034E</w:t>
            </w:r>
          </w:p>
        </w:tc>
        <w:tc>
          <w:tcPr>
            <w:tcW w:w="1800" w:type="dxa"/>
            <w:tcBorders>
              <w:top w:val="nil"/>
              <w:left w:val="nil"/>
              <w:bottom w:val="nil"/>
              <w:right w:val="nil"/>
            </w:tcBorders>
            <w:shd w:val="clear" w:color="auto" w:fill="FFFFFF"/>
            <w:tcMar>
              <w:top w:w="50" w:type="dxa"/>
              <w:left w:w="100" w:type="dxa"/>
              <w:bottom w:w="50" w:type="dxa"/>
              <w:right w:w="100" w:type="dxa"/>
            </w:tcMar>
          </w:tcPr>
          <w:p w14:paraId="24F3AD2E" w14:textId="77777777" w:rsidR="00E50131" w:rsidRDefault="00000000">
            <w:pPr>
              <w:spacing w:before="20" w:after="20"/>
              <w:jc w:val="right"/>
            </w:pPr>
            <w:r>
              <w:rPr>
                <w:rFonts w:ascii="Calibri" w:eastAsia="Calibri" w:hAnsi="Calibri" w:cs="Calibri"/>
                <w:b/>
                <w:bCs/>
                <w:color w:val="2C3E50"/>
                <w:sz w:val="18"/>
                <w:szCs w:val="18"/>
              </w:rPr>
              <w:t>$1,112</w:t>
            </w:r>
          </w:p>
        </w:tc>
        <w:tc>
          <w:tcPr>
            <w:tcW w:w="1600" w:type="dxa"/>
            <w:tcBorders>
              <w:top w:val="nil"/>
              <w:left w:val="nil"/>
              <w:bottom w:val="nil"/>
              <w:right w:val="nil"/>
            </w:tcBorders>
            <w:shd w:val="clear" w:color="auto" w:fill="FFFFFF"/>
            <w:tcMar>
              <w:top w:w="50" w:type="dxa"/>
              <w:left w:w="100" w:type="dxa"/>
              <w:bottom w:w="50" w:type="dxa"/>
              <w:right w:w="100" w:type="dxa"/>
            </w:tcMar>
          </w:tcPr>
          <w:p w14:paraId="334783FF" w14:textId="77777777" w:rsidR="00E50131" w:rsidRDefault="00000000">
            <w:pPr>
              <w:spacing w:before="20" w:after="20"/>
              <w:jc w:val="right"/>
            </w:pPr>
            <w:r>
              <w:rPr>
                <w:rFonts w:ascii="Calibri" w:eastAsia="Calibri" w:hAnsi="Calibri" w:cs="Calibri"/>
                <w:b/>
                <w:bCs/>
                <w:color w:val="2C3E50"/>
                <w:sz w:val="18"/>
                <w:szCs w:val="18"/>
              </w:rPr>
              <w:t>39.5%</w:t>
            </w:r>
          </w:p>
        </w:tc>
        <w:tc>
          <w:tcPr>
            <w:tcW w:w="1600" w:type="dxa"/>
            <w:tcBorders>
              <w:top w:val="nil"/>
              <w:left w:val="nil"/>
              <w:bottom w:val="nil"/>
              <w:right w:val="nil"/>
            </w:tcBorders>
            <w:shd w:val="clear" w:color="auto" w:fill="FFFFFF"/>
            <w:tcMar>
              <w:top w:w="50" w:type="dxa"/>
              <w:left w:w="100" w:type="dxa"/>
              <w:bottom w:w="50" w:type="dxa"/>
              <w:right w:w="100" w:type="dxa"/>
            </w:tcMar>
          </w:tcPr>
          <w:p w14:paraId="599F8FA6" w14:textId="77777777" w:rsidR="00E50131" w:rsidRDefault="00000000">
            <w:pPr>
              <w:spacing w:before="20" w:after="20"/>
              <w:jc w:val="right"/>
            </w:pPr>
            <w:r>
              <w:rPr>
                <w:rFonts w:ascii="Calibri" w:eastAsia="Calibri" w:hAnsi="Calibri" w:cs="Calibri"/>
                <w:b/>
                <w:bCs/>
                <w:color w:val="2C3E50"/>
                <w:sz w:val="18"/>
                <w:szCs w:val="18"/>
              </w:rPr>
              <w:t>31.5%</w:t>
            </w:r>
          </w:p>
        </w:tc>
        <w:tc>
          <w:tcPr>
            <w:tcW w:w="2440" w:type="dxa"/>
            <w:tcBorders>
              <w:top w:val="nil"/>
              <w:left w:val="nil"/>
              <w:bottom w:val="nil"/>
              <w:right w:val="nil"/>
            </w:tcBorders>
            <w:shd w:val="clear" w:color="auto" w:fill="FFFFFF"/>
            <w:tcMar>
              <w:top w:w="50" w:type="dxa"/>
              <w:left w:w="100" w:type="dxa"/>
              <w:bottom w:w="50" w:type="dxa"/>
              <w:right w:w="100" w:type="dxa"/>
            </w:tcMar>
          </w:tcPr>
          <w:p w14:paraId="5956AE1E" w14:textId="77777777" w:rsidR="00E50131" w:rsidRDefault="00000000">
            <w:pPr>
              <w:spacing w:before="20" w:after="20"/>
              <w:jc w:val="right"/>
            </w:pPr>
            <w:r>
              <w:rPr>
                <w:rFonts w:ascii="Calibri" w:eastAsia="Calibri" w:hAnsi="Calibri" w:cs="Calibri"/>
                <w:b/>
                <w:bCs/>
                <w:color w:val="2C3E50"/>
                <w:sz w:val="18"/>
                <w:szCs w:val="18"/>
              </w:rPr>
              <w:t>$350.3</w:t>
            </w:r>
          </w:p>
        </w:tc>
      </w:tr>
      <w:tr w:rsidR="00E50131" w14:paraId="4012E4B8" w14:textId="77777777" w:rsidTr="000B2E1E">
        <w:tc>
          <w:tcPr>
            <w:tcW w:w="1200" w:type="dxa"/>
            <w:tcBorders>
              <w:top w:val="nil"/>
              <w:left w:val="nil"/>
              <w:bottom w:val="nil"/>
              <w:right w:val="nil"/>
            </w:tcBorders>
            <w:shd w:val="clear" w:color="auto" w:fill="E8F0FE"/>
            <w:tcMar>
              <w:top w:w="50" w:type="dxa"/>
              <w:left w:w="160" w:type="dxa"/>
              <w:bottom w:w="50" w:type="dxa"/>
              <w:right w:w="100" w:type="dxa"/>
            </w:tcMar>
          </w:tcPr>
          <w:p w14:paraId="79E53080" w14:textId="77777777" w:rsidR="00E50131" w:rsidRDefault="00000000">
            <w:pPr>
              <w:spacing w:before="20" w:after="20"/>
            </w:pPr>
            <w:r>
              <w:rPr>
                <w:rFonts w:ascii="Calibri" w:eastAsia="Calibri" w:hAnsi="Calibri" w:cs="Calibri"/>
                <w:b/>
                <w:bCs/>
                <w:color w:val="1B4F72"/>
                <w:sz w:val="18"/>
                <w:szCs w:val="18"/>
              </w:rPr>
              <w:t>2035E</w:t>
            </w:r>
          </w:p>
        </w:tc>
        <w:tc>
          <w:tcPr>
            <w:tcW w:w="1800" w:type="dxa"/>
            <w:tcBorders>
              <w:top w:val="nil"/>
              <w:left w:val="nil"/>
              <w:bottom w:val="nil"/>
              <w:right w:val="nil"/>
            </w:tcBorders>
            <w:shd w:val="clear" w:color="auto" w:fill="E8F0FE"/>
            <w:tcMar>
              <w:top w:w="50" w:type="dxa"/>
              <w:left w:w="100" w:type="dxa"/>
              <w:bottom w:w="50" w:type="dxa"/>
              <w:right w:w="100" w:type="dxa"/>
            </w:tcMar>
          </w:tcPr>
          <w:p w14:paraId="688297F5" w14:textId="77777777" w:rsidR="00E50131" w:rsidRDefault="00000000">
            <w:pPr>
              <w:spacing w:before="20" w:after="20"/>
              <w:jc w:val="right"/>
            </w:pPr>
            <w:r>
              <w:rPr>
                <w:rFonts w:ascii="Calibri" w:eastAsia="Calibri" w:hAnsi="Calibri" w:cs="Calibri"/>
                <w:b/>
                <w:bCs/>
                <w:color w:val="1B4F72"/>
                <w:sz w:val="18"/>
                <w:szCs w:val="18"/>
              </w:rPr>
              <w:t>$1,201</w:t>
            </w:r>
          </w:p>
        </w:tc>
        <w:tc>
          <w:tcPr>
            <w:tcW w:w="1600" w:type="dxa"/>
            <w:tcBorders>
              <w:top w:val="nil"/>
              <w:left w:val="nil"/>
              <w:bottom w:val="nil"/>
              <w:right w:val="nil"/>
            </w:tcBorders>
            <w:shd w:val="clear" w:color="auto" w:fill="E8F0FE"/>
            <w:tcMar>
              <w:top w:w="50" w:type="dxa"/>
              <w:left w:w="100" w:type="dxa"/>
              <w:bottom w:w="50" w:type="dxa"/>
              <w:right w:w="100" w:type="dxa"/>
            </w:tcMar>
          </w:tcPr>
          <w:p w14:paraId="750C7CC6" w14:textId="77777777" w:rsidR="00E50131" w:rsidRDefault="00000000">
            <w:pPr>
              <w:spacing w:before="20" w:after="20"/>
              <w:jc w:val="right"/>
            </w:pPr>
            <w:r>
              <w:rPr>
                <w:rFonts w:ascii="Calibri" w:eastAsia="Calibri" w:hAnsi="Calibri" w:cs="Calibri"/>
                <w:b/>
                <w:bCs/>
                <w:color w:val="1B4F72"/>
                <w:sz w:val="18"/>
                <w:szCs w:val="18"/>
              </w:rPr>
              <w:t>40.0%</w:t>
            </w:r>
          </w:p>
        </w:tc>
        <w:tc>
          <w:tcPr>
            <w:tcW w:w="1600" w:type="dxa"/>
            <w:tcBorders>
              <w:top w:val="nil"/>
              <w:left w:val="nil"/>
              <w:bottom w:val="nil"/>
              <w:right w:val="nil"/>
            </w:tcBorders>
            <w:shd w:val="clear" w:color="auto" w:fill="E8F0FE"/>
            <w:tcMar>
              <w:top w:w="50" w:type="dxa"/>
              <w:left w:w="100" w:type="dxa"/>
              <w:bottom w:w="50" w:type="dxa"/>
              <w:right w:w="100" w:type="dxa"/>
            </w:tcMar>
          </w:tcPr>
          <w:p w14:paraId="7B1BB1E9" w14:textId="77777777" w:rsidR="00E50131" w:rsidRDefault="00000000">
            <w:pPr>
              <w:spacing w:before="20" w:after="20"/>
              <w:jc w:val="right"/>
            </w:pPr>
            <w:r>
              <w:rPr>
                <w:rFonts w:ascii="Calibri" w:eastAsia="Calibri" w:hAnsi="Calibri" w:cs="Calibri"/>
                <w:b/>
                <w:bCs/>
                <w:color w:val="1B4F72"/>
                <w:sz w:val="18"/>
                <w:szCs w:val="18"/>
              </w:rPr>
              <w:t>32.0%</w:t>
            </w:r>
          </w:p>
        </w:tc>
        <w:tc>
          <w:tcPr>
            <w:tcW w:w="2440" w:type="dxa"/>
            <w:tcBorders>
              <w:top w:val="nil"/>
              <w:left w:val="nil"/>
              <w:bottom w:val="nil"/>
              <w:right w:val="nil"/>
            </w:tcBorders>
            <w:shd w:val="clear" w:color="auto" w:fill="E8F0FE"/>
            <w:tcMar>
              <w:top w:w="50" w:type="dxa"/>
              <w:left w:w="100" w:type="dxa"/>
              <w:bottom w:w="50" w:type="dxa"/>
              <w:right w:w="100" w:type="dxa"/>
            </w:tcMar>
          </w:tcPr>
          <w:p w14:paraId="70852CC1" w14:textId="77777777" w:rsidR="00E50131" w:rsidRDefault="00000000">
            <w:pPr>
              <w:spacing w:before="20" w:after="20"/>
              <w:jc w:val="right"/>
            </w:pPr>
            <w:r>
              <w:rPr>
                <w:rFonts w:ascii="Calibri" w:eastAsia="Calibri" w:hAnsi="Calibri" w:cs="Calibri"/>
                <w:b/>
                <w:bCs/>
                <w:color w:val="1B4F72"/>
                <w:sz w:val="18"/>
                <w:szCs w:val="18"/>
              </w:rPr>
              <w:t>$384.3</w:t>
            </w:r>
          </w:p>
        </w:tc>
      </w:tr>
    </w:tbl>
    <w:p w14:paraId="2FDD4362" w14:textId="77777777" w:rsidR="00E50131" w:rsidRDefault="00E50131">
      <w:pPr>
        <w:spacing w:before="80"/>
      </w:pPr>
    </w:p>
    <w:p w14:paraId="566EC697" w14:textId="77777777" w:rsidR="00E50131" w:rsidRDefault="00000000">
      <w:pPr>
        <w:spacing w:before="80" w:after="80" w:line="312" w:lineRule="auto"/>
      </w:pPr>
      <w:r>
        <w:rPr>
          <w:i/>
          <w:iCs/>
        </w:rPr>
        <w:t xml:space="preserve">Note: 2026E FCF margin is deliberately compressed to 12% to reflect the peak </w:t>
      </w:r>
      <w:proofErr w:type="spellStart"/>
      <w:r>
        <w:rPr>
          <w:i/>
          <w:iCs/>
        </w:rPr>
        <w:t>CapEx</w:t>
      </w:r>
      <w:proofErr w:type="spellEnd"/>
      <w:r>
        <w:rPr>
          <w:i/>
          <w:iCs/>
        </w:rPr>
        <w:t xml:space="preserve"> year ($175–$185B guidance). This is the “worst year” in the model and is precisely the trough that creates the current buying opportunity.</w:t>
      </w:r>
    </w:p>
    <w:p w14:paraId="72C56D56" w14:textId="77777777" w:rsidR="00E50131" w:rsidRDefault="00000000">
      <w:pPr>
        <w:spacing w:before="280" w:after="80"/>
      </w:pPr>
      <w:r>
        <w:rPr>
          <w:rFonts w:ascii="Calibri" w:eastAsia="Calibri" w:hAnsi="Calibri" w:cs="Calibri"/>
          <w:b/>
          <w:bCs/>
          <w:color w:val="2874A6"/>
          <w:sz w:val="24"/>
          <w:szCs w:val="24"/>
        </w:rPr>
        <w:t>Valuation Output</w:t>
      </w:r>
    </w:p>
    <w:p w14:paraId="1B007E52" w14:textId="77777777" w:rsidR="00E50131" w:rsidRDefault="00000000">
      <w:pPr>
        <w:spacing w:before="80" w:after="80" w:line="312" w:lineRule="auto"/>
      </w:pPr>
      <w:r>
        <w:t>Discounting the projected free cash flows at our 8.5% WACC and applying a terminal value using the Gordon Growth Model:</w:t>
      </w:r>
    </w:p>
    <w:p w14:paraId="7CFACFD9" w14:textId="77777777" w:rsidR="00E50131" w:rsidRDefault="00E50131">
      <w:pPr>
        <w:spacing w:before="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240"/>
      </w:tblGrid>
      <w:tr w:rsidR="00E50131" w14:paraId="7AC0CDFD" w14:textId="77777777">
        <w:trPr>
          <w:tblHeader/>
        </w:trPr>
        <w:tc>
          <w:tcPr>
            <w:tcW w:w="5400" w:type="dxa"/>
            <w:tcBorders>
              <w:top w:val="single" w:sz="8" w:space="0" w:color="1B4F72"/>
              <w:left w:val="none" w:sz="0" w:space="0" w:color="FFFFFF"/>
              <w:bottom w:val="single" w:sz="8" w:space="0" w:color="1B4F72"/>
              <w:right w:val="none" w:sz="0" w:space="0" w:color="FFFFFF"/>
            </w:tcBorders>
            <w:shd w:val="clear" w:color="auto" w:fill="1B4F72"/>
            <w:tcMar>
              <w:top w:w="70" w:type="dxa"/>
              <w:left w:w="160" w:type="dxa"/>
              <w:bottom w:w="70" w:type="dxa"/>
              <w:right w:w="100" w:type="dxa"/>
            </w:tcMar>
          </w:tcPr>
          <w:p w14:paraId="3D04C3A6" w14:textId="77777777" w:rsidR="00E50131" w:rsidRDefault="00000000">
            <w:r>
              <w:rPr>
                <w:rFonts w:ascii="Calibri" w:eastAsia="Calibri" w:hAnsi="Calibri" w:cs="Calibri"/>
                <w:b/>
                <w:bCs/>
                <w:color w:val="FFFFFF"/>
                <w:sz w:val="18"/>
                <w:szCs w:val="18"/>
              </w:rPr>
              <w:t>Component</w:t>
            </w:r>
          </w:p>
        </w:tc>
        <w:tc>
          <w:tcPr>
            <w:tcW w:w="3240"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7AD28EE5" w14:textId="77777777" w:rsidR="00E50131" w:rsidRDefault="00000000">
            <w:pPr>
              <w:jc w:val="right"/>
            </w:pPr>
            <w:r>
              <w:rPr>
                <w:rFonts w:ascii="Calibri" w:eastAsia="Calibri" w:hAnsi="Calibri" w:cs="Calibri"/>
                <w:b/>
                <w:bCs/>
                <w:color w:val="FFFFFF"/>
                <w:sz w:val="18"/>
                <w:szCs w:val="18"/>
              </w:rPr>
              <w:t>Value</w:t>
            </w:r>
          </w:p>
        </w:tc>
      </w:tr>
      <w:tr w:rsidR="00E50131" w14:paraId="06EC53B6" w14:textId="77777777">
        <w:tc>
          <w:tcPr>
            <w:tcW w:w="5400" w:type="dxa"/>
            <w:tcBorders>
              <w:top w:val="none" w:sz="0" w:space="0" w:color="FFFFFF"/>
              <w:left w:val="none" w:sz="0" w:space="0" w:color="FFFFFF"/>
              <w:bottom w:val="single" w:sz="2" w:space="0" w:color="D5D8DC"/>
              <w:right w:val="none" w:sz="0" w:space="0" w:color="FFFFFF"/>
            </w:tcBorders>
            <w:shd w:val="clear" w:color="auto" w:fill="F7F9FB"/>
            <w:tcMar>
              <w:top w:w="50" w:type="dxa"/>
              <w:left w:w="160" w:type="dxa"/>
              <w:bottom w:w="50" w:type="dxa"/>
              <w:right w:w="100" w:type="dxa"/>
            </w:tcMar>
          </w:tcPr>
          <w:p w14:paraId="51AB6B34" w14:textId="77777777" w:rsidR="00E50131" w:rsidRDefault="00000000">
            <w:pPr>
              <w:spacing w:before="20" w:after="20"/>
            </w:pPr>
            <w:r>
              <w:rPr>
                <w:rFonts w:ascii="Calibri" w:eastAsia="Calibri" w:hAnsi="Calibri" w:cs="Calibri"/>
                <w:b/>
                <w:bCs/>
                <w:color w:val="2C3E50"/>
                <w:sz w:val="18"/>
                <w:szCs w:val="18"/>
              </w:rPr>
              <w:t>PV of Explicit Period FCFs (2026–2035)</w:t>
            </w:r>
          </w:p>
        </w:tc>
        <w:tc>
          <w:tcPr>
            <w:tcW w:w="324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383C9351" w14:textId="77777777" w:rsidR="00E50131" w:rsidRDefault="00000000">
            <w:pPr>
              <w:spacing w:before="20" w:after="20"/>
              <w:jc w:val="right"/>
            </w:pPr>
            <w:r>
              <w:rPr>
                <w:rFonts w:ascii="Calibri" w:eastAsia="Calibri" w:hAnsi="Calibri" w:cs="Calibri"/>
                <w:b/>
                <w:bCs/>
                <w:color w:val="2C3E50"/>
                <w:sz w:val="18"/>
                <w:szCs w:val="18"/>
              </w:rPr>
              <w:t>$1,209B</w:t>
            </w:r>
          </w:p>
        </w:tc>
      </w:tr>
      <w:tr w:rsidR="00E50131" w14:paraId="224B141E" w14:textId="77777777">
        <w:tc>
          <w:tcPr>
            <w:tcW w:w="5400" w:type="dxa"/>
            <w:tcBorders>
              <w:top w:val="none" w:sz="0" w:space="0" w:color="FFFFFF"/>
              <w:left w:val="none" w:sz="0" w:space="0" w:color="FFFFFF"/>
              <w:bottom w:val="single" w:sz="2" w:space="0" w:color="D5D8DC"/>
              <w:right w:val="none" w:sz="0" w:space="0" w:color="FFFFFF"/>
            </w:tcBorders>
            <w:shd w:val="clear" w:color="auto" w:fill="FFFFFF"/>
            <w:tcMar>
              <w:top w:w="50" w:type="dxa"/>
              <w:left w:w="160" w:type="dxa"/>
              <w:bottom w:w="50" w:type="dxa"/>
              <w:right w:w="100" w:type="dxa"/>
            </w:tcMar>
          </w:tcPr>
          <w:p w14:paraId="335412F5" w14:textId="77777777" w:rsidR="00E50131" w:rsidRDefault="00000000">
            <w:pPr>
              <w:spacing w:before="20" w:after="20"/>
            </w:pPr>
            <w:r>
              <w:rPr>
                <w:rFonts w:ascii="Calibri" w:eastAsia="Calibri" w:hAnsi="Calibri" w:cs="Calibri"/>
                <w:b/>
                <w:bCs/>
                <w:color w:val="2C3E50"/>
                <w:sz w:val="18"/>
                <w:szCs w:val="18"/>
              </w:rPr>
              <w:t>Terminal Value (at 3.5% perpetuity growth)</w:t>
            </w:r>
          </w:p>
        </w:tc>
        <w:tc>
          <w:tcPr>
            <w:tcW w:w="324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3B68106E" w14:textId="77777777" w:rsidR="00E50131" w:rsidRDefault="00000000">
            <w:pPr>
              <w:spacing w:before="20" w:after="20"/>
              <w:jc w:val="right"/>
            </w:pPr>
            <w:r>
              <w:rPr>
                <w:rFonts w:ascii="Calibri" w:eastAsia="Calibri" w:hAnsi="Calibri" w:cs="Calibri"/>
                <w:b/>
                <w:bCs/>
                <w:color w:val="2C3E50"/>
                <w:sz w:val="18"/>
                <w:szCs w:val="18"/>
              </w:rPr>
              <w:t>$7,949B</w:t>
            </w:r>
          </w:p>
        </w:tc>
      </w:tr>
      <w:tr w:rsidR="00E50131" w14:paraId="70CA30C0" w14:textId="77777777">
        <w:tc>
          <w:tcPr>
            <w:tcW w:w="5400" w:type="dxa"/>
            <w:tcBorders>
              <w:top w:val="none" w:sz="0" w:space="0" w:color="FFFFFF"/>
              <w:left w:val="none" w:sz="0" w:space="0" w:color="FFFFFF"/>
              <w:bottom w:val="single" w:sz="2" w:space="0" w:color="D5D8DC"/>
              <w:right w:val="none" w:sz="0" w:space="0" w:color="FFFFFF"/>
            </w:tcBorders>
            <w:shd w:val="clear" w:color="auto" w:fill="F7F9FB"/>
            <w:tcMar>
              <w:top w:w="50" w:type="dxa"/>
              <w:left w:w="160" w:type="dxa"/>
              <w:bottom w:w="50" w:type="dxa"/>
              <w:right w:w="100" w:type="dxa"/>
            </w:tcMar>
          </w:tcPr>
          <w:p w14:paraId="354F99AB" w14:textId="77777777" w:rsidR="00E50131" w:rsidRDefault="00000000">
            <w:pPr>
              <w:spacing w:before="20" w:after="20"/>
            </w:pPr>
            <w:r>
              <w:rPr>
                <w:rFonts w:ascii="Calibri" w:eastAsia="Calibri" w:hAnsi="Calibri" w:cs="Calibri"/>
                <w:b/>
                <w:bCs/>
                <w:color w:val="2C3E50"/>
                <w:sz w:val="18"/>
                <w:szCs w:val="18"/>
              </w:rPr>
              <w:t>PV of Terminal Value</w:t>
            </w:r>
          </w:p>
        </w:tc>
        <w:tc>
          <w:tcPr>
            <w:tcW w:w="324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49C6F5A2" w14:textId="77777777" w:rsidR="00E50131" w:rsidRDefault="00000000">
            <w:pPr>
              <w:spacing w:before="20" w:after="20"/>
              <w:jc w:val="right"/>
            </w:pPr>
            <w:r>
              <w:rPr>
                <w:rFonts w:ascii="Calibri" w:eastAsia="Calibri" w:hAnsi="Calibri" w:cs="Calibri"/>
                <w:b/>
                <w:bCs/>
                <w:color w:val="2C3E50"/>
                <w:sz w:val="18"/>
                <w:szCs w:val="18"/>
              </w:rPr>
              <w:t>$3,466B</w:t>
            </w:r>
          </w:p>
        </w:tc>
      </w:tr>
      <w:tr w:rsidR="00E50131" w14:paraId="1C4304B0" w14:textId="77777777">
        <w:tc>
          <w:tcPr>
            <w:tcW w:w="5400" w:type="dxa"/>
            <w:tcBorders>
              <w:top w:val="single" w:sz="4" w:space="0" w:color="1B4F72"/>
              <w:left w:val="none" w:sz="0" w:space="0" w:color="FFFFFF"/>
              <w:bottom w:val="single" w:sz="2" w:space="0" w:color="D5D8DC"/>
              <w:right w:val="none" w:sz="0" w:space="0" w:color="FFFFFF"/>
            </w:tcBorders>
            <w:shd w:val="clear" w:color="auto" w:fill="E8F0FE"/>
            <w:tcMar>
              <w:top w:w="50" w:type="dxa"/>
              <w:left w:w="160" w:type="dxa"/>
              <w:bottom w:w="50" w:type="dxa"/>
              <w:right w:w="100" w:type="dxa"/>
            </w:tcMar>
          </w:tcPr>
          <w:p w14:paraId="17BD1AFB" w14:textId="77777777" w:rsidR="00E50131" w:rsidRDefault="00000000">
            <w:pPr>
              <w:spacing w:before="20" w:after="20"/>
            </w:pPr>
            <w:r>
              <w:rPr>
                <w:rFonts w:ascii="Calibri" w:eastAsia="Calibri" w:hAnsi="Calibri" w:cs="Calibri"/>
                <w:b/>
                <w:bCs/>
                <w:color w:val="1B4F72"/>
                <w:sz w:val="18"/>
                <w:szCs w:val="18"/>
              </w:rPr>
              <w:t>Enterprise Value</w:t>
            </w:r>
          </w:p>
        </w:tc>
        <w:tc>
          <w:tcPr>
            <w:tcW w:w="3240" w:type="dxa"/>
            <w:tcBorders>
              <w:top w:val="single" w:sz="4" w:space="0" w:color="1B4F72"/>
              <w:left w:val="none" w:sz="0" w:space="0" w:color="FFFFFF"/>
              <w:bottom w:val="single" w:sz="2" w:space="0" w:color="D5D8DC"/>
              <w:right w:val="none" w:sz="0" w:space="0" w:color="FFFFFF"/>
            </w:tcBorders>
            <w:shd w:val="clear" w:color="auto" w:fill="E8F0FE"/>
            <w:tcMar>
              <w:top w:w="50" w:type="dxa"/>
              <w:left w:w="100" w:type="dxa"/>
              <w:bottom w:w="50" w:type="dxa"/>
              <w:right w:w="100" w:type="dxa"/>
            </w:tcMar>
          </w:tcPr>
          <w:p w14:paraId="4CC0D1F2" w14:textId="77777777" w:rsidR="00E50131" w:rsidRDefault="00000000">
            <w:pPr>
              <w:spacing w:before="20" w:after="20"/>
              <w:jc w:val="right"/>
            </w:pPr>
            <w:r>
              <w:rPr>
                <w:rFonts w:ascii="Calibri" w:eastAsia="Calibri" w:hAnsi="Calibri" w:cs="Calibri"/>
                <w:b/>
                <w:bCs/>
                <w:color w:val="1B4F72"/>
                <w:sz w:val="18"/>
                <w:szCs w:val="18"/>
              </w:rPr>
              <w:t>$4,675B</w:t>
            </w:r>
          </w:p>
        </w:tc>
      </w:tr>
      <w:tr w:rsidR="00E50131" w14:paraId="21D0D8F3" w14:textId="77777777">
        <w:tc>
          <w:tcPr>
            <w:tcW w:w="5400" w:type="dxa"/>
            <w:tcBorders>
              <w:top w:val="none" w:sz="0" w:space="0" w:color="FFFFFF"/>
              <w:left w:val="none" w:sz="0" w:space="0" w:color="FFFFFF"/>
              <w:bottom w:val="single" w:sz="2" w:space="0" w:color="D5D8DC"/>
              <w:right w:val="none" w:sz="0" w:space="0" w:color="FFFFFF"/>
            </w:tcBorders>
            <w:shd w:val="clear" w:color="auto" w:fill="F7F9FB"/>
            <w:tcMar>
              <w:top w:w="50" w:type="dxa"/>
              <w:left w:w="160" w:type="dxa"/>
              <w:bottom w:w="50" w:type="dxa"/>
              <w:right w:w="100" w:type="dxa"/>
            </w:tcMar>
          </w:tcPr>
          <w:p w14:paraId="52178A42" w14:textId="77777777" w:rsidR="00E50131" w:rsidRDefault="00000000">
            <w:pPr>
              <w:spacing w:before="20" w:after="20"/>
            </w:pPr>
            <w:r>
              <w:rPr>
                <w:rFonts w:ascii="Calibri" w:eastAsia="Calibri" w:hAnsi="Calibri" w:cs="Calibri"/>
                <w:b/>
                <w:bCs/>
                <w:color w:val="2C3E50"/>
                <w:sz w:val="18"/>
                <w:szCs w:val="18"/>
              </w:rPr>
              <w:t>Less: Net Debt (Debt $46.5B – Cash $126.8B)</w:t>
            </w:r>
          </w:p>
        </w:tc>
        <w:tc>
          <w:tcPr>
            <w:tcW w:w="324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6C1FFA43" w14:textId="77777777" w:rsidR="00E50131" w:rsidRDefault="00000000">
            <w:pPr>
              <w:spacing w:before="20" w:after="20"/>
              <w:jc w:val="right"/>
            </w:pPr>
            <w:r>
              <w:rPr>
                <w:rFonts w:ascii="Calibri" w:eastAsia="Calibri" w:hAnsi="Calibri" w:cs="Calibri"/>
                <w:b/>
                <w:bCs/>
                <w:color w:val="2C3E50"/>
                <w:sz w:val="18"/>
                <w:szCs w:val="18"/>
              </w:rPr>
              <w:t>+$80.3B</w:t>
            </w:r>
          </w:p>
        </w:tc>
      </w:tr>
      <w:tr w:rsidR="00E50131" w14:paraId="46168279" w14:textId="77777777">
        <w:tc>
          <w:tcPr>
            <w:tcW w:w="5400" w:type="dxa"/>
            <w:tcBorders>
              <w:top w:val="single" w:sz="4" w:space="0" w:color="1B4F72"/>
              <w:left w:val="none" w:sz="0" w:space="0" w:color="FFFFFF"/>
              <w:bottom w:val="single" w:sz="2" w:space="0" w:color="D5D8DC"/>
              <w:right w:val="none" w:sz="0" w:space="0" w:color="FFFFFF"/>
            </w:tcBorders>
            <w:shd w:val="clear" w:color="auto" w:fill="E8F0FE"/>
            <w:tcMar>
              <w:top w:w="50" w:type="dxa"/>
              <w:left w:w="160" w:type="dxa"/>
              <w:bottom w:w="50" w:type="dxa"/>
              <w:right w:w="100" w:type="dxa"/>
            </w:tcMar>
          </w:tcPr>
          <w:p w14:paraId="641F9873" w14:textId="77777777" w:rsidR="00E50131" w:rsidRDefault="00000000">
            <w:pPr>
              <w:spacing w:before="20" w:after="20"/>
            </w:pPr>
            <w:r>
              <w:rPr>
                <w:rFonts w:ascii="Calibri" w:eastAsia="Calibri" w:hAnsi="Calibri" w:cs="Calibri"/>
                <w:b/>
                <w:bCs/>
                <w:color w:val="1B4F72"/>
                <w:sz w:val="18"/>
                <w:szCs w:val="18"/>
              </w:rPr>
              <w:t>Equity Value</w:t>
            </w:r>
          </w:p>
        </w:tc>
        <w:tc>
          <w:tcPr>
            <w:tcW w:w="3240" w:type="dxa"/>
            <w:tcBorders>
              <w:top w:val="single" w:sz="4" w:space="0" w:color="1B4F72"/>
              <w:left w:val="none" w:sz="0" w:space="0" w:color="FFFFFF"/>
              <w:bottom w:val="single" w:sz="2" w:space="0" w:color="D5D8DC"/>
              <w:right w:val="none" w:sz="0" w:space="0" w:color="FFFFFF"/>
            </w:tcBorders>
            <w:shd w:val="clear" w:color="auto" w:fill="E8F0FE"/>
            <w:tcMar>
              <w:top w:w="50" w:type="dxa"/>
              <w:left w:w="100" w:type="dxa"/>
              <w:bottom w:w="50" w:type="dxa"/>
              <w:right w:w="100" w:type="dxa"/>
            </w:tcMar>
          </w:tcPr>
          <w:p w14:paraId="2B285A22" w14:textId="77777777" w:rsidR="00E50131" w:rsidRDefault="00000000">
            <w:pPr>
              <w:spacing w:before="20" w:after="20"/>
              <w:jc w:val="right"/>
            </w:pPr>
            <w:r>
              <w:rPr>
                <w:rFonts w:ascii="Calibri" w:eastAsia="Calibri" w:hAnsi="Calibri" w:cs="Calibri"/>
                <w:b/>
                <w:bCs/>
                <w:color w:val="1B4F72"/>
                <w:sz w:val="18"/>
                <w:szCs w:val="18"/>
              </w:rPr>
              <w:t>$4,755B</w:t>
            </w:r>
          </w:p>
        </w:tc>
      </w:tr>
      <w:tr w:rsidR="00E50131" w14:paraId="3922BD50" w14:textId="77777777">
        <w:tc>
          <w:tcPr>
            <w:tcW w:w="5400" w:type="dxa"/>
            <w:tcBorders>
              <w:top w:val="none" w:sz="0" w:space="0" w:color="FFFFFF"/>
              <w:left w:val="none" w:sz="0" w:space="0" w:color="FFFFFF"/>
              <w:bottom w:val="single" w:sz="2" w:space="0" w:color="D5D8DC"/>
              <w:right w:val="none" w:sz="0" w:space="0" w:color="FFFFFF"/>
            </w:tcBorders>
            <w:shd w:val="clear" w:color="auto" w:fill="F7F9FB"/>
            <w:tcMar>
              <w:top w:w="50" w:type="dxa"/>
              <w:left w:w="160" w:type="dxa"/>
              <w:bottom w:w="50" w:type="dxa"/>
              <w:right w:w="100" w:type="dxa"/>
            </w:tcMar>
          </w:tcPr>
          <w:p w14:paraId="689837AB" w14:textId="77777777" w:rsidR="00E50131" w:rsidRDefault="00000000">
            <w:pPr>
              <w:spacing w:before="20" w:after="20"/>
            </w:pPr>
            <w:r>
              <w:rPr>
                <w:rFonts w:ascii="Calibri" w:eastAsia="Calibri" w:hAnsi="Calibri" w:cs="Calibri"/>
                <w:b/>
                <w:bCs/>
                <w:color w:val="2C3E50"/>
                <w:sz w:val="18"/>
                <w:szCs w:val="18"/>
              </w:rPr>
              <w:t>Diluted Shares Outstanding</w:t>
            </w:r>
          </w:p>
        </w:tc>
        <w:tc>
          <w:tcPr>
            <w:tcW w:w="324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329C818D" w14:textId="77777777" w:rsidR="00E50131" w:rsidRDefault="00000000">
            <w:pPr>
              <w:spacing w:before="20" w:after="20"/>
              <w:jc w:val="right"/>
            </w:pPr>
            <w:r>
              <w:rPr>
                <w:rFonts w:ascii="Calibri" w:eastAsia="Calibri" w:hAnsi="Calibri" w:cs="Calibri"/>
                <w:b/>
                <w:bCs/>
                <w:color w:val="2C3E50"/>
                <w:sz w:val="18"/>
                <w:szCs w:val="18"/>
              </w:rPr>
              <w:t>~12.2B</w:t>
            </w:r>
          </w:p>
        </w:tc>
      </w:tr>
      <w:tr w:rsidR="00E50131" w14:paraId="686C1B86" w14:textId="77777777">
        <w:tc>
          <w:tcPr>
            <w:tcW w:w="5400" w:type="dxa"/>
            <w:tcBorders>
              <w:top w:val="single" w:sz="4" w:space="0" w:color="1B4F72"/>
              <w:left w:val="none" w:sz="0" w:space="0" w:color="FFFFFF"/>
              <w:bottom w:val="single" w:sz="8" w:space="0" w:color="1B4F72"/>
              <w:right w:val="none" w:sz="0" w:space="0" w:color="FFFFFF"/>
            </w:tcBorders>
            <w:shd w:val="clear" w:color="auto" w:fill="D5F4E6"/>
            <w:tcMar>
              <w:top w:w="50" w:type="dxa"/>
              <w:left w:w="160" w:type="dxa"/>
              <w:bottom w:w="50" w:type="dxa"/>
              <w:right w:w="100" w:type="dxa"/>
            </w:tcMar>
          </w:tcPr>
          <w:p w14:paraId="04C57DA8" w14:textId="77777777" w:rsidR="00E50131" w:rsidRDefault="00000000">
            <w:pPr>
              <w:spacing w:before="20" w:after="20"/>
            </w:pPr>
            <w:r>
              <w:rPr>
                <w:rFonts w:ascii="Calibri" w:eastAsia="Calibri" w:hAnsi="Calibri" w:cs="Calibri"/>
                <w:b/>
                <w:bCs/>
                <w:color w:val="1B4F72"/>
                <w:sz w:val="18"/>
                <w:szCs w:val="18"/>
              </w:rPr>
              <w:t>Intrinsic Value Per Share</w:t>
            </w:r>
          </w:p>
        </w:tc>
        <w:tc>
          <w:tcPr>
            <w:tcW w:w="3240" w:type="dxa"/>
            <w:tcBorders>
              <w:top w:val="single" w:sz="4" w:space="0" w:color="1B4F72"/>
              <w:left w:val="none" w:sz="0" w:space="0" w:color="FFFFFF"/>
              <w:bottom w:val="single" w:sz="8" w:space="0" w:color="1B4F72"/>
              <w:right w:val="none" w:sz="0" w:space="0" w:color="FFFFFF"/>
            </w:tcBorders>
            <w:shd w:val="clear" w:color="auto" w:fill="D5F4E6"/>
            <w:tcMar>
              <w:top w:w="50" w:type="dxa"/>
              <w:left w:w="100" w:type="dxa"/>
              <w:bottom w:w="50" w:type="dxa"/>
              <w:right w:w="100" w:type="dxa"/>
            </w:tcMar>
          </w:tcPr>
          <w:p w14:paraId="27725679" w14:textId="77777777" w:rsidR="00E50131" w:rsidRDefault="00000000">
            <w:pPr>
              <w:spacing w:before="20" w:after="20"/>
              <w:jc w:val="right"/>
            </w:pPr>
            <w:r>
              <w:rPr>
                <w:rFonts w:ascii="Calibri" w:eastAsia="Calibri" w:hAnsi="Calibri" w:cs="Calibri"/>
                <w:b/>
                <w:bCs/>
                <w:color w:val="27AE60"/>
                <w:sz w:val="18"/>
                <w:szCs w:val="18"/>
              </w:rPr>
              <w:t>$390</w:t>
            </w:r>
          </w:p>
        </w:tc>
      </w:tr>
    </w:tbl>
    <w:p w14:paraId="1668CD08" w14:textId="77777777" w:rsidR="00E50131" w:rsidRDefault="00E50131">
      <w:pPr>
        <w:spacing w:before="80"/>
      </w:pPr>
    </w:p>
    <w:p w14:paraId="4D8E6E38" w14:textId="77777777" w:rsidR="00E50131" w:rsidRDefault="00000000">
      <w:pPr>
        <w:spacing w:before="80" w:after="80" w:line="312" w:lineRule="auto"/>
      </w:pPr>
      <w:r>
        <w:t xml:space="preserve">At the current share price of approximately $306, this implies a </w:t>
      </w:r>
      <w:r>
        <w:rPr>
          <w:b/>
          <w:bCs/>
          <w:color w:val="27AE60"/>
        </w:rPr>
        <w:t>Margin of Safety of approximately 22%</w:t>
      </w:r>
      <w:r>
        <w:t xml:space="preserve"> and a </w:t>
      </w:r>
      <w:r>
        <w:rPr>
          <w:b/>
          <w:bCs/>
          <w:color w:val="27AE60"/>
        </w:rPr>
        <w:t>potential upside of 27%</w:t>
      </w:r>
      <w:r>
        <w:t xml:space="preserve"> to our base-case intrinsic value.</w:t>
      </w:r>
    </w:p>
    <w:p w14:paraId="6C272AAA" w14:textId="77777777" w:rsidR="00E50131" w:rsidRDefault="00000000">
      <w:pPr>
        <w:spacing w:before="280" w:after="80"/>
      </w:pPr>
      <w:r>
        <w:rPr>
          <w:rFonts w:ascii="Calibri" w:eastAsia="Calibri" w:hAnsi="Calibri" w:cs="Calibri"/>
          <w:b/>
          <w:bCs/>
          <w:color w:val="2874A6"/>
          <w:sz w:val="24"/>
          <w:szCs w:val="24"/>
        </w:rPr>
        <w:t>Sensitivity Analysis: WACC vs. Terminal Growth Rate</w:t>
      </w:r>
    </w:p>
    <w:p w14:paraId="359CB12C" w14:textId="77777777" w:rsidR="00E50131" w:rsidRDefault="00000000">
      <w:pPr>
        <w:spacing w:before="80" w:after="80" w:line="312" w:lineRule="auto"/>
      </w:pPr>
      <w:r>
        <w:t>The DCF output is sensitive to the discount rate and terminal growth assumptions. The matrix below presents intrinsic value per share across a range of scenarios:</w:t>
      </w:r>
    </w:p>
    <w:p w14:paraId="5745B0BC" w14:textId="77777777" w:rsidR="00E50131" w:rsidRDefault="00E50131">
      <w:pPr>
        <w:spacing w:before="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28"/>
        <w:gridCol w:w="1328"/>
        <w:gridCol w:w="1328"/>
        <w:gridCol w:w="1328"/>
        <w:gridCol w:w="1328"/>
      </w:tblGrid>
      <w:tr w:rsidR="00E50131" w14:paraId="1D88F440" w14:textId="77777777">
        <w:trPr>
          <w:tblHeader/>
        </w:trPr>
        <w:tc>
          <w:tcPr>
            <w:tcW w:w="2000" w:type="dxa"/>
            <w:tcBorders>
              <w:top w:val="single" w:sz="8" w:space="0" w:color="1B4F72"/>
              <w:left w:val="none" w:sz="0" w:space="0" w:color="FFFFFF"/>
              <w:bottom w:val="single" w:sz="8" w:space="0" w:color="1B4F72"/>
              <w:right w:val="none" w:sz="0" w:space="0" w:color="FFFFFF"/>
            </w:tcBorders>
            <w:shd w:val="clear" w:color="auto" w:fill="1B4F72"/>
            <w:tcMar>
              <w:top w:w="70" w:type="dxa"/>
              <w:left w:w="160" w:type="dxa"/>
              <w:bottom w:w="70" w:type="dxa"/>
              <w:right w:w="100" w:type="dxa"/>
            </w:tcMar>
          </w:tcPr>
          <w:p w14:paraId="279A0EA4" w14:textId="77777777" w:rsidR="00E50131" w:rsidRDefault="00000000">
            <w:r>
              <w:rPr>
                <w:rFonts w:ascii="Calibri" w:eastAsia="Calibri" w:hAnsi="Calibri" w:cs="Calibri"/>
                <w:b/>
                <w:bCs/>
                <w:color w:val="FFFFFF"/>
                <w:sz w:val="18"/>
                <w:szCs w:val="18"/>
              </w:rPr>
              <w:t>WACC → / TGR ↓</w:t>
            </w:r>
          </w:p>
        </w:tc>
        <w:tc>
          <w:tcPr>
            <w:tcW w:w="1328"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5C306419" w14:textId="77777777" w:rsidR="00E50131" w:rsidRDefault="00000000">
            <w:pPr>
              <w:jc w:val="right"/>
            </w:pPr>
            <w:r>
              <w:rPr>
                <w:rFonts w:ascii="Calibri" w:eastAsia="Calibri" w:hAnsi="Calibri" w:cs="Calibri"/>
                <w:b/>
                <w:bCs/>
                <w:color w:val="FFFFFF"/>
                <w:sz w:val="18"/>
                <w:szCs w:val="18"/>
              </w:rPr>
              <w:t>7.5%</w:t>
            </w:r>
          </w:p>
        </w:tc>
        <w:tc>
          <w:tcPr>
            <w:tcW w:w="1328"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477CE79A" w14:textId="77777777" w:rsidR="00E50131" w:rsidRDefault="00000000">
            <w:pPr>
              <w:jc w:val="right"/>
            </w:pPr>
            <w:r>
              <w:rPr>
                <w:rFonts w:ascii="Calibri" w:eastAsia="Calibri" w:hAnsi="Calibri" w:cs="Calibri"/>
                <w:b/>
                <w:bCs/>
                <w:color w:val="FFFFFF"/>
                <w:sz w:val="18"/>
                <w:szCs w:val="18"/>
              </w:rPr>
              <w:t>8.0%</w:t>
            </w:r>
          </w:p>
        </w:tc>
        <w:tc>
          <w:tcPr>
            <w:tcW w:w="1328"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1DCDD497" w14:textId="77777777" w:rsidR="00E50131" w:rsidRDefault="00000000">
            <w:pPr>
              <w:jc w:val="right"/>
            </w:pPr>
            <w:r>
              <w:rPr>
                <w:rFonts w:ascii="Calibri" w:eastAsia="Calibri" w:hAnsi="Calibri" w:cs="Calibri"/>
                <w:b/>
                <w:bCs/>
                <w:color w:val="FFFFFF"/>
                <w:sz w:val="18"/>
                <w:szCs w:val="18"/>
              </w:rPr>
              <w:t>8.5%</w:t>
            </w:r>
          </w:p>
        </w:tc>
        <w:tc>
          <w:tcPr>
            <w:tcW w:w="1328"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7C616FEE" w14:textId="77777777" w:rsidR="00E50131" w:rsidRDefault="00000000">
            <w:pPr>
              <w:jc w:val="right"/>
            </w:pPr>
            <w:r>
              <w:rPr>
                <w:rFonts w:ascii="Calibri" w:eastAsia="Calibri" w:hAnsi="Calibri" w:cs="Calibri"/>
                <w:b/>
                <w:bCs/>
                <w:color w:val="FFFFFF"/>
                <w:sz w:val="18"/>
                <w:szCs w:val="18"/>
              </w:rPr>
              <w:t>9.0%</w:t>
            </w:r>
          </w:p>
        </w:tc>
        <w:tc>
          <w:tcPr>
            <w:tcW w:w="1328"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410FFDD0" w14:textId="77777777" w:rsidR="00E50131" w:rsidRDefault="00000000">
            <w:pPr>
              <w:jc w:val="right"/>
            </w:pPr>
            <w:r>
              <w:rPr>
                <w:rFonts w:ascii="Calibri" w:eastAsia="Calibri" w:hAnsi="Calibri" w:cs="Calibri"/>
                <w:b/>
                <w:bCs/>
                <w:color w:val="FFFFFF"/>
                <w:sz w:val="18"/>
                <w:szCs w:val="18"/>
              </w:rPr>
              <w:t>9.5%</w:t>
            </w:r>
          </w:p>
        </w:tc>
      </w:tr>
      <w:tr w:rsidR="00E50131" w14:paraId="19044BDC" w14:textId="77777777">
        <w:tc>
          <w:tcPr>
            <w:tcW w:w="2000" w:type="dxa"/>
            <w:tcBorders>
              <w:top w:val="none" w:sz="0" w:space="0" w:color="FFFFFF"/>
              <w:left w:val="none" w:sz="0" w:space="0" w:color="FFFFFF"/>
              <w:bottom w:val="single" w:sz="2" w:space="0" w:color="D5D8DC"/>
              <w:right w:val="none" w:sz="0" w:space="0" w:color="FFFFFF"/>
            </w:tcBorders>
            <w:shd w:val="clear" w:color="auto" w:fill="F7F9FB"/>
            <w:tcMar>
              <w:top w:w="50" w:type="dxa"/>
              <w:left w:w="160" w:type="dxa"/>
              <w:bottom w:w="50" w:type="dxa"/>
              <w:right w:w="100" w:type="dxa"/>
            </w:tcMar>
          </w:tcPr>
          <w:p w14:paraId="2A0EED01" w14:textId="77777777" w:rsidR="00E50131" w:rsidRDefault="00000000">
            <w:pPr>
              <w:spacing w:before="20" w:after="20"/>
            </w:pPr>
            <w:r>
              <w:rPr>
                <w:rFonts w:ascii="Calibri" w:eastAsia="Calibri" w:hAnsi="Calibri" w:cs="Calibri"/>
                <w:b/>
                <w:bCs/>
                <w:color w:val="2C3E50"/>
                <w:sz w:val="18"/>
                <w:szCs w:val="18"/>
              </w:rPr>
              <w:t>2.5%</w:t>
            </w:r>
          </w:p>
        </w:tc>
        <w:tc>
          <w:tcPr>
            <w:tcW w:w="1328"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19A70A38" w14:textId="77777777" w:rsidR="00E50131" w:rsidRDefault="00000000">
            <w:pPr>
              <w:spacing w:before="20" w:after="20"/>
              <w:jc w:val="right"/>
            </w:pPr>
            <w:r>
              <w:rPr>
                <w:rFonts w:ascii="Calibri" w:eastAsia="Calibri" w:hAnsi="Calibri" w:cs="Calibri"/>
                <w:b/>
                <w:bCs/>
                <w:color w:val="2C3E50"/>
                <w:sz w:val="18"/>
                <w:szCs w:val="18"/>
              </w:rPr>
              <w:t>$398</w:t>
            </w:r>
          </w:p>
        </w:tc>
        <w:tc>
          <w:tcPr>
            <w:tcW w:w="1328"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383FCB6E" w14:textId="77777777" w:rsidR="00E50131" w:rsidRDefault="00000000">
            <w:pPr>
              <w:spacing w:before="20" w:after="20"/>
              <w:jc w:val="right"/>
            </w:pPr>
            <w:r>
              <w:rPr>
                <w:rFonts w:ascii="Calibri" w:eastAsia="Calibri" w:hAnsi="Calibri" w:cs="Calibri"/>
                <w:b/>
                <w:bCs/>
                <w:color w:val="2C3E50"/>
                <w:sz w:val="18"/>
                <w:szCs w:val="18"/>
              </w:rPr>
              <w:t>$362</w:t>
            </w:r>
          </w:p>
        </w:tc>
        <w:tc>
          <w:tcPr>
            <w:tcW w:w="1328"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026C0093" w14:textId="77777777" w:rsidR="00E50131" w:rsidRDefault="00000000">
            <w:pPr>
              <w:spacing w:before="20" w:after="20"/>
              <w:jc w:val="right"/>
            </w:pPr>
            <w:r>
              <w:rPr>
                <w:rFonts w:ascii="Calibri" w:eastAsia="Calibri" w:hAnsi="Calibri" w:cs="Calibri"/>
                <w:b/>
                <w:bCs/>
                <w:color w:val="2C3E50"/>
                <w:sz w:val="18"/>
                <w:szCs w:val="18"/>
              </w:rPr>
              <w:t>$332</w:t>
            </w:r>
          </w:p>
        </w:tc>
        <w:tc>
          <w:tcPr>
            <w:tcW w:w="1328"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045EB111" w14:textId="77777777" w:rsidR="00E50131" w:rsidRDefault="00000000">
            <w:pPr>
              <w:spacing w:before="20" w:after="20"/>
              <w:jc w:val="right"/>
            </w:pPr>
            <w:r>
              <w:rPr>
                <w:rFonts w:ascii="Calibri" w:eastAsia="Calibri" w:hAnsi="Calibri" w:cs="Calibri"/>
                <w:b/>
                <w:bCs/>
                <w:color w:val="2C3E50"/>
                <w:sz w:val="18"/>
                <w:szCs w:val="18"/>
              </w:rPr>
              <w:t>$306</w:t>
            </w:r>
          </w:p>
        </w:tc>
        <w:tc>
          <w:tcPr>
            <w:tcW w:w="1328"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3FBB8C5B" w14:textId="77777777" w:rsidR="00E50131" w:rsidRDefault="00000000">
            <w:pPr>
              <w:spacing w:before="20" w:after="20"/>
              <w:jc w:val="right"/>
            </w:pPr>
            <w:r>
              <w:rPr>
                <w:rFonts w:ascii="Calibri" w:eastAsia="Calibri" w:hAnsi="Calibri" w:cs="Calibri"/>
                <w:b/>
                <w:bCs/>
                <w:color w:val="2C3E50"/>
                <w:sz w:val="18"/>
                <w:szCs w:val="18"/>
              </w:rPr>
              <w:t>$284</w:t>
            </w:r>
          </w:p>
        </w:tc>
      </w:tr>
      <w:tr w:rsidR="00E50131" w14:paraId="4F4E21D2" w14:textId="77777777">
        <w:tc>
          <w:tcPr>
            <w:tcW w:w="2000" w:type="dxa"/>
            <w:tcBorders>
              <w:top w:val="none" w:sz="0" w:space="0" w:color="FFFFFF"/>
              <w:left w:val="none" w:sz="0" w:space="0" w:color="FFFFFF"/>
              <w:bottom w:val="single" w:sz="2" w:space="0" w:color="D5D8DC"/>
              <w:right w:val="none" w:sz="0" w:space="0" w:color="FFFFFF"/>
            </w:tcBorders>
            <w:shd w:val="clear" w:color="auto" w:fill="FFFFFF"/>
            <w:tcMar>
              <w:top w:w="50" w:type="dxa"/>
              <w:left w:w="160" w:type="dxa"/>
              <w:bottom w:w="50" w:type="dxa"/>
              <w:right w:w="100" w:type="dxa"/>
            </w:tcMar>
          </w:tcPr>
          <w:p w14:paraId="54DEE9B9" w14:textId="77777777" w:rsidR="00E50131" w:rsidRDefault="00000000">
            <w:pPr>
              <w:spacing w:before="20" w:after="20"/>
            </w:pPr>
            <w:r>
              <w:rPr>
                <w:rFonts w:ascii="Calibri" w:eastAsia="Calibri" w:hAnsi="Calibri" w:cs="Calibri"/>
                <w:b/>
                <w:bCs/>
                <w:color w:val="2C3E50"/>
                <w:sz w:val="18"/>
                <w:szCs w:val="18"/>
              </w:rPr>
              <w:t>3.0%</w:t>
            </w:r>
          </w:p>
        </w:tc>
        <w:tc>
          <w:tcPr>
            <w:tcW w:w="1328"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06B93DE5" w14:textId="77777777" w:rsidR="00E50131" w:rsidRDefault="00000000">
            <w:pPr>
              <w:spacing w:before="20" w:after="20"/>
              <w:jc w:val="right"/>
            </w:pPr>
            <w:r>
              <w:rPr>
                <w:rFonts w:ascii="Calibri" w:eastAsia="Calibri" w:hAnsi="Calibri" w:cs="Calibri"/>
                <w:b/>
                <w:bCs/>
                <w:color w:val="2C3E50"/>
                <w:sz w:val="18"/>
                <w:szCs w:val="18"/>
              </w:rPr>
              <w:t>$432</w:t>
            </w:r>
          </w:p>
        </w:tc>
        <w:tc>
          <w:tcPr>
            <w:tcW w:w="1328"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0B882BF3" w14:textId="77777777" w:rsidR="00E50131" w:rsidRDefault="00000000">
            <w:pPr>
              <w:spacing w:before="20" w:after="20"/>
              <w:jc w:val="right"/>
            </w:pPr>
            <w:r>
              <w:rPr>
                <w:rFonts w:ascii="Calibri" w:eastAsia="Calibri" w:hAnsi="Calibri" w:cs="Calibri"/>
                <w:b/>
                <w:bCs/>
                <w:color w:val="2C3E50"/>
                <w:sz w:val="18"/>
                <w:szCs w:val="18"/>
              </w:rPr>
              <w:t>$390</w:t>
            </w:r>
          </w:p>
        </w:tc>
        <w:tc>
          <w:tcPr>
            <w:tcW w:w="1328"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020AADC6" w14:textId="77777777" w:rsidR="00E50131" w:rsidRDefault="00000000">
            <w:pPr>
              <w:spacing w:before="20" w:after="20"/>
              <w:jc w:val="right"/>
            </w:pPr>
            <w:r>
              <w:rPr>
                <w:rFonts w:ascii="Calibri" w:eastAsia="Calibri" w:hAnsi="Calibri" w:cs="Calibri"/>
                <w:b/>
                <w:bCs/>
                <w:color w:val="2C3E50"/>
                <w:sz w:val="18"/>
                <w:szCs w:val="18"/>
              </w:rPr>
              <w:t>$355</w:t>
            </w:r>
          </w:p>
        </w:tc>
        <w:tc>
          <w:tcPr>
            <w:tcW w:w="1328"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6EB923A6" w14:textId="77777777" w:rsidR="00E50131" w:rsidRDefault="00000000">
            <w:pPr>
              <w:spacing w:before="20" w:after="20"/>
              <w:jc w:val="right"/>
            </w:pPr>
            <w:r>
              <w:rPr>
                <w:rFonts w:ascii="Calibri" w:eastAsia="Calibri" w:hAnsi="Calibri" w:cs="Calibri"/>
                <w:b/>
                <w:bCs/>
                <w:color w:val="2C3E50"/>
                <w:sz w:val="18"/>
                <w:szCs w:val="18"/>
              </w:rPr>
              <w:t>$326</w:t>
            </w:r>
          </w:p>
        </w:tc>
        <w:tc>
          <w:tcPr>
            <w:tcW w:w="1328"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4F998347" w14:textId="77777777" w:rsidR="00E50131" w:rsidRDefault="00000000">
            <w:pPr>
              <w:spacing w:before="20" w:after="20"/>
              <w:jc w:val="right"/>
            </w:pPr>
            <w:r>
              <w:rPr>
                <w:rFonts w:ascii="Calibri" w:eastAsia="Calibri" w:hAnsi="Calibri" w:cs="Calibri"/>
                <w:b/>
                <w:bCs/>
                <w:color w:val="2C3E50"/>
                <w:sz w:val="18"/>
                <w:szCs w:val="18"/>
              </w:rPr>
              <w:t>$301</w:t>
            </w:r>
          </w:p>
        </w:tc>
      </w:tr>
      <w:tr w:rsidR="00E50131" w14:paraId="517CBF29" w14:textId="77777777" w:rsidTr="000B2E1E">
        <w:tc>
          <w:tcPr>
            <w:tcW w:w="2000" w:type="dxa"/>
            <w:tcBorders>
              <w:top w:val="single" w:sz="4" w:space="0" w:color="1B4F72"/>
              <w:left w:val="none" w:sz="0" w:space="0" w:color="FFFFFF"/>
              <w:bottom w:val="nil"/>
              <w:right w:val="none" w:sz="0" w:space="0" w:color="FFFFFF"/>
            </w:tcBorders>
            <w:shd w:val="clear" w:color="auto" w:fill="E8F0FE"/>
            <w:tcMar>
              <w:top w:w="50" w:type="dxa"/>
              <w:left w:w="160" w:type="dxa"/>
              <w:bottom w:w="50" w:type="dxa"/>
              <w:right w:w="100" w:type="dxa"/>
            </w:tcMar>
          </w:tcPr>
          <w:p w14:paraId="037445C4" w14:textId="77777777" w:rsidR="00E50131" w:rsidRDefault="00000000">
            <w:pPr>
              <w:spacing w:before="20" w:after="20"/>
            </w:pPr>
            <w:r>
              <w:rPr>
                <w:rFonts w:ascii="Calibri" w:eastAsia="Calibri" w:hAnsi="Calibri" w:cs="Calibri"/>
                <w:b/>
                <w:bCs/>
                <w:color w:val="1B4F72"/>
                <w:sz w:val="18"/>
                <w:szCs w:val="18"/>
              </w:rPr>
              <w:lastRenderedPageBreak/>
              <w:t>3.5% (Base)</w:t>
            </w:r>
          </w:p>
        </w:tc>
        <w:tc>
          <w:tcPr>
            <w:tcW w:w="1328" w:type="dxa"/>
            <w:tcBorders>
              <w:top w:val="single" w:sz="4" w:space="0" w:color="1B4F72"/>
              <w:left w:val="none" w:sz="0" w:space="0" w:color="FFFFFF"/>
              <w:bottom w:val="nil"/>
              <w:right w:val="none" w:sz="0" w:space="0" w:color="FFFFFF"/>
            </w:tcBorders>
            <w:shd w:val="clear" w:color="auto" w:fill="E8F0FE"/>
            <w:tcMar>
              <w:top w:w="50" w:type="dxa"/>
              <w:left w:w="100" w:type="dxa"/>
              <w:bottom w:w="50" w:type="dxa"/>
              <w:right w:w="100" w:type="dxa"/>
            </w:tcMar>
          </w:tcPr>
          <w:p w14:paraId="1EA526D4" w14:textId="77777777" w:rsidR="00E50131" w:rsidRDefault="00000000">
            <w:pPr>
              <w:spacing w:before="20" w:after="20"/>
              <w:jc w:val="right"/>
            </w:pPr>
            <w:r>
              <w:rPr>
                <w:rFonts w:ascii="Calibri" w:eastAsia="Calibri" w:hAnsi="Calibri" w:cs="Calibri"/>
                <w:b/>
                <w:bCs/>
                <w:color w:val="1B4F72"/>
                <w:sz w:val="18"/>
                <w:szCs w:val="18"/>
              </w:rPr>
              <w:t>$474</w:t>
            </w:r>
          </w:p>
        </w:tc>
        <w:tc>
          <w:tcPr>
            <w:tcW w:w="1328" w:type="dxa"/>
            <w:tcBorders>
              <w:top w:val="single" w:sz="4" w:space="0" w:color="1B4F72"/>
              <w:left w:val="none" w:sz="0" w:space="0" w:color="FFFFFF"/>
              <w:bottom w:val="nil"/>
              <w:right w:val="none" w:sz="0" w:space="0" w:color="FFFFFF"/>
            </w:tcBorders>
            <w:shd w:val="clear" w:color="auto" w:fill="E8F0FE"/>
            <w:tcMar>
              <w:top w:w="50" w:type="dxa"/>
              <w:left w:w="100" w:type="dxa"/>
              <w:bottom w:w="50" w:type="dxa"/>
              <w:right w:w="100" w:type="dxa"/>
            </w:tcMar>
          </w:tcPr>
          <w:p w14:paraId="40CF5674" w14:textId="77777777" w:rsidR="00E50131" w:rsidRDefault="00000000">
            <w:pPr>
              <w:spacing w:before="20" w:after="20"/>
              <w:jc w:val="right"/>
            </w:pPr>
            <w:r>
              <w:rPr>
                <w:rFonts w:ascii="Calibri" w:eastAsia="Calibri" w:hAnsi="Calibri" w:cs="Calibri"/>
                <w:b/>
                <w:bCs/>
                <w:color w:val="1B4F72"/>
                <w:sz w:val="18"/>
                <w:szCs w:val="18"/>
              </w:rPr>
              <w:t>$424</w:t>
            </w:r>
          </w:p>
        </w:tc>
        <w:tc>
          <w:tcPr>
            <w:tcW w:w="1328" w:type="dxa"/>
            <w:tcBorders>
              <w:top w:val="single" w:sz="4" w:space="0" w:color="1B4F72"/>
              <w:left w:val="none" w:sz="0" w:space="0" w:color="FFFFFF"/>
              <w:bottom w:val="nil"/>
              <w:right w:val="none" w:sz="0" w:space="0" w:color="FFFFFF"/>
            </w:tcBorders>
            <w:shd w:val="clear" w:color="auto" w:fill="E8F0FE"/>
            <w:tcMar>
              <w:top w:w="50" w:type="dxa"/>
              <w:left w:w="100" w:type="dxa"/>
              <w:bottom w:w="50" w:type="dxa"/>
              <w:right w:w="100" w:type="dxa"/>
            </w:tcMar>
          </w:tcPr>
          <w:p w14:paraId="6D3465E5" w14:textId="77777777" w:rsidR="00E50131" w:rsidRDefault="00000000">
            <w:pPr>
              <w:spacing w:before="20" w:after="20"/>
              <w:jc w:val="right"/>
            </w:pPr>
            <w:r>
              <w:rPr>
                <w:rFonts w:ascii="Calibri" w:eastAsia="Calibri" w:hAnsi="Calibri" w:cs="Calibri"/>
                <w:b/>
                <w:bCs/>
                <w:color w:val="27AE60"/>
                <w:sz w:val="18"/>
                <w:szCs w:val="18"/>
              </w:rPr>
              <w:t>$390</w:t>
            </w:r>
          </w:p>
        </w:tc>
        <w:tc>
          <w:tcPr>
            <w:tcW w:w="1328" w:type="dxa"/>
            <w:tcBorders>
              <w:top w:val="single" w:sz="4" w:space="0" w:color="1B4F72"/>
              <w:left w:val="none" w:sz="0" w:space="0" w:color="FFFFFF"/>
              <w:bottom w:val="nil"/>
              <w:right w:val="none" w:sz="0" w:space="0" w:color="FFFFFF"/>
            </w:tcBorders>
            <w:shd w:val="clear" w:color="auto" w:fill="E8F0FE"/>
            <w:tcMar>
              <w:top w:w="50" w:type="dxa"/>
              <w:left w:w="100" w:type="dxa"/>
              <w:bottom w:w="50" w:type="dxa"/>
              <w:right w:w="100" w:type="dxa"/>
            </w:tcMar>
          </w:tcPr>
          <w:p w14:paraId="0E360685" w14:textId="77777777" w:rsidR="00E50131" w:rsidRDefault="00000000">
            <w:pPr>
              <w:spacing w:before="20" w:after="20"/>
              <w:jc w:val="right"/>
            </w:pPr>
            <w:r>
              <w:rPr>
                <w:rFonts w:ascii="Calibri" w:eastAsia="Calibri" w:hAnsi="Calibri" w:cs="Calibri"/>
                <w:b/>
                <w:bCs/>
                <w:color w:val="1B4F72"/>
                <w:sz w:val="18"/>
                <w:szCs w:val="18"/>
              </w:rPr>
              <w:t>$349</w:t>
            </w:r>
          </w:p>
        </w:tc>
        <w:tc>
          <w:tcPr>
            <w:tcW w:w="1328" w:type="dxa"/>
            <w:tcBorders>
              <w:top w:val="single" w:sz="4" w:space="0" w:color="1B4F72"/>
              <w:left w:val="none" w:sz="0" w:space="0" w:color="FFFFFF"/>
              <w:bottom w:val="nil"/>
              <w:right w:val="none" w:sz="0" w:space="0" w:color="FFFFFF"/>
            </w:tcBorders>
            <w:shd w:val="clear" w:color="auto" w:fill="E8F0FE"/>
            <w:tcMar>
              <w:top w:w="50" w:type="dxa"/>
              <w:left w:w="100" w:type="dxa"/>
              <w:bottom w:w="50" w:type="dxa"/>
              <w:right w:w="100" w:type="dxa"/>
            </w:tcMar>
          </w:tcPr>
          <w:p w14:paraId="49A4C740" w14:textId="77777777" w:rsidR="00E50131" w:rsidRDefault="00000000">
            <w:pPr>
              <w:spacing w:before="20" w:after="20"/>
              <w:jc w:val="right"/>
            </w:pPr>
            <w:r>
              <w:rPr>
                <w:rFonts w:ascii="Calibri" w:eastAsia="Calibri" w:hAnsi="Calibri" w:cs="Calibri"/>
                <w:b/>
                <w:bCs/>
                <w:color w:val="1B4F72"/>
                <w:sz w:val="18"/>
                <w:szCs w:val="18"/>
              </w:rPr>
              <w:t>$320</w:t>
            </w:r>
          </w:p>
        </w:tc>
      </w:tr>
      <w:tr w:rsidR="00E50131" w14:paraId="4AABDE70" w14:textId="77777777" w:rsidTr="000B2E1E">
        <w:tc>
          <w:tcPr>
            <w:tcW w:w="2000" w:type="dxa"/>
            <w:tcBorders>
              <w:top w:val="nil"/>
              <w:left w:val="nil"/>
              <w:bottom w:val="nil"/>
              <w:right w:val="nil"/>
            </w:tcBorders>
            <w:shd w:val="clear" w:color="auto" w:fill="FFFFFF"/>
            <w:tcMar>
              <w:top w:w="50" w:type="dxa"/>
              <w:left w:w="160" w:type="dxa"/>
              <w:bottom w:w="50" w:type="dxa"/>
              <w:right w:w="100" w:type="dxa"/>
            </w:tcMar>
          </w:tcPr>
          <w:p w14:paraId="39BE6ABA" w14:textId="77777777" w:rsidR="00E50131" w:rsidRDefault="00000000">
            <w:pPr>
              <w:spacing w:before="20" w:after="20"/>
            </w:pPr>
            <w:r>
              <w:rPr>
                <w:rFonts w:ascii="Calibri" w:eastAsia="Calibri" w:hAnsi="Calibri" w:cs="Calibri"/>
                <w:b/>
                <w:bCs/>
                <w:color w:val="2C3E50"/>
                <w:sz w:val="18"/>
                <w:szCs w:val="18"/>
              </w:rPr>
              <w:t>4.0%</w:t>
            </w:r>
          </w:p>
        </w:tc>
        <w:tc>
          <w:tcPr>
            <w:tcW w:w="1328" w:type="dxa"/>
            <w:tcBorders>
              <w:top w:val="nil"/>
              <w:left w:val="nil"/>
              <w:bottom w:val="nil"/>
              <w:right w:val="nil"/>
            </w:tcBorders>
            <w:shd w:val="clear" w:color="auto" w:fill="FFFFFF"/>
            <w:tcMar>
              <w:top w:w="50" w:type="dxa"/>
              <w:left w:w="100" w:type="dxa"/>
              <w:bottom w:w="50" w:type="dxa"/>
              <w:right w:w="100" w:type="dxa"/>
            </w:tcMar>
          </w:tcPr>
          <w:p w14:paraId="59112B73" w14:textId="77777777" w:rsidR="00E50131" w:rsidRDefault="00000000">
            <w:pPr>
              <w:spacing w:before="20" w:after="20"/>
              <w:jc w:val="right"/>
            </w:pPr>
            <w:r>
              <w:rPr>
                <w:rFonts w:ascii="Calibri" w:eastAsia="Calibri" w:hAnsi="Calibri" w:cs="Calibri"/>
                <w:b/>
                <w:bCs/>
                <w:color w:val="2C3E50"/>
                <w:sz w:val="18"/>
                <w:szCs w:val="18"/>
              </w:rPr>
              <w:t>$528</w:t>
            </w:r>
          </w:p>
        </w:tc>
        <w:tc>
          <w:tcPr>
            <w:tcW w:w="1328" w:type="dxa"/>
            <w:tcBorders>
              <w:top w:val="nil"/>
              <w:left w:val="nil"/>
              <w:bottom w:val="nil"/>
              <w:right w:val="nil"/>
            </w:tcBorders>
            <w:shd w:val="clear" w:color="auto" w:fill="FFFFFF"/>
            <w:tcMar>
              <w:top w:w="50" w:type="dxa"/>
              <w:left w:w="100" w:type="dxa"/>
              <w:bottom w:w="50" w:type="dxa"/>
              <w:right w:w="100" w:type="dxa"/>
            </w:tcMar>
          </w:tcPr>
          <w:p w14:paraId="02BCB85E" w14:textId="77777777" w:rsidR="00E50131" w:rsidRDefault="00000000">
            <w:pPr>
              <w:spacing w:before="20" w:after="20"/>
              <w:jc w:val="right"/>
            </w:pPr>
            <w:r>
              <w:rPr>
                <w:rFonts w:ascii="Calibri" w:eastAsia="Calibri" w:hAnsi="Calibri" w:cs="Calibri"/>
                <w:b/>
                <w:bCs/>
                <w:color w:val="2C3E50"/>
                <w:sz w:val="18"/>
                <w:szCs w:val="18"/>
              </w:rPr>
              <w:t>$466</w:t>
            </w:r>
          </w:p>
        </w:tc>
        <w:tc>
          <w:tcPr>
            <w:tcW w:w="1328" w:type="dxa"/>
            <w:tcBorders>
              <w:top w:val="nil"/>
              <w:left w:val="nil"/>
              <w:bottom w:val="nil"/>
              <w:right w:val="nil"/>
            </w:tcBorders>
            <w:shd w:val="clear" w:color="auto" w:fill="FFFFFF"/>
            <w:tcMar>
              <w:top w:w="50" w:type="dxa"/>
              <w:left w:w="100" w:type="dxa"/>
              <w:bottom w:w="50" w:type="dxa"/>
              <w:right w:w="100" w:type="dxa"/>
            </w:tcMar>
          </w:tcPr>
          <w:p w14:paraId="1CF99C9B" w14:textId="77777777" w:rsidR="00E50131" w:rsidRDefault="00000000">
            <w:pPr>
              <w:spacing w:before="20" w:after="20"/>
              <w:jc w:val="right"/>
            </w:pPr>
            <w:r>
              <w:rPr>
                <w:rFonts w:ascii="Calibri" w:eastAsia="Calibri" w:hAnsi="Calibri" w:cs="Calibri"/>
                <w:b/>
                <w:bCs/>
                <w:color w:val="2C3E50"/>
                <w:sz w:val="18"/>
                <w:szCs w:val="18"/>
              </w:rPr>
              <w:t>$415</w:t>
            </w:r>
          </w:p>
        </w:tc>
        <w:tc>
          <w:tcPr>
            <w:tcW w:w="1328" w:type="dxa"/>
            <w:tcBorders>
              <w:top w:val="nil"/>
              <w:left w:val="nil"/>
              <w:bottom w:val="nil"/>
              <w:right w:val="nil"/>
            </w:tcBorders>
            <w:shd w:val="clear" w:color="auto" w:fill="FFFFFF"/>
            <w:tcMar>
              <w:top w:w="50" w:type="dxa"/>
              <w:left w:w="100" w:type="dxa"/>
              <w:bottom w:w="50" w:type="dxa"/>
              <w:right w:w="100" w:type="dxa"/>
            </w:tcMar>
          </w:tcPr>
          <w:p w14:paraId="2EF9B177" w14:textId="77777777" w:rsidR="00E50131" w:rsidRDefault="00000000">
            <w:pPr>
              <w:spacing w:before="20" w:after="20"/>
              <w:jc w:val="right"/>
            </w:pPr>
            <w:r>
              <w:rPr>
                <w:rFonts w:ascii="Calibri" w:eastAsia="Calibri" w:hAnsi="Calibri" w:cs="Calibri"/>
                <w:b/>
                <w:bCs/>
                <w:color w:val="2C3E50"/>
                <w:sz w:val="18"/>
                <w:szCs w:val="18"/>
              </w:rPr>
              <w:t>$376</w:t>
            </w:r>
          </w:p>
        </w:tc>
        <w:tc>
          <w:tcPr>
            <w:tcW w:w="1328" w:type="dxa"/>
            <w:tcBorders>
              <w:top w:val="nil"/>
              <w:left w:val="nil"/>
              <w:bottom w:val="nil"/>
              <w:right w:val="nil"/>
            </w:tcBorders>
            <w:shd w:val="clear" w:color="auto" w:fill="FFFFFF"/>
            <w:tcMar>
              <w:top w:w="50" w:type="dxa"/>
              <w:left w:w="100" w:type="dxa"/>
              <w:bottom w:w="50" w:type="dxa"/>
              <w:right w:w="100" w:type="dxa"/>
            </w:tcMar>
          </w:tcPr>
          <w:p w14:paraId="3C19F3D4" w14:textId="77777777" w:rsidR="00E50131" w:rsidRDefault="00000000">
            <w:pPr>
              <w:spacing w:before="20" w:after="20"/>
              <w:jc w:val="right"/>
            </w:pPr>
            <w:r>
              <w:rPr>
                <w:rFonts w:ascii="Calibri" w:eastAsia="Calibri" w:hAnsi="Calibri" w:cs="Calibri"/>
                <w:b/>
                <w:bCs/>
                <w:color w:val="2C3E50"/>
                <w:sz w:val="18"/>
                <w:szCs w:val="18"/>
              </w:rPr>
              <w:t>$343</w:t>
            </w:r>
          </w:p>
        </w:tc>
      </w:tr>
      <w:tr w:rsidR="00E50131" w14:paraId="02B50E31" w14:textId="77777777" w:rsidTr="000B2E1E">
        <w:tc>
          <w:tcPr>
            <w:tcW w:w="2000" w:type="dxa"/>
            <w:tcBorders>
              <w:top w:val="nil"/>
              <w:left w:val="nil"/>
              <w:bottom w:val="nil"/>
              <w:right w:val="nil"/>
            </w:tcBorders>
            <w:shd w:val="clear" w:color="auto" w:fill="F7F9FB"/>
            <w:tcMar>
              <w:top w:w="50" w:type="dxa"/>
              <w:left w:w="160" w:type="dxa"/>
              <w:bottom w:w="50" w:type="dxa"/>
              <w:right w:w="100" w:type="dxa"/>
            </w:tcMar>
          </w:tcPr>
          <w:p w14:paraId="3E814109" w14:textId="77777777" w:rsidR="00E50131" w:rsidRDefault="00000000">
            <w:pPr>
              <w:spacing w:before="20" w:after="20"/>
            </w:pPr>
            <w:r>
              <w:rPr>
                <w:rFonts w:ascii="Calibri" w:eastAsia="Calibri" w:hAnsi="Calibri" w:cs="Calibri"/>
                <w:b/>
                <w:bCs/>
                <w:color w:val="2C3E50"/>
                <w:sz w:val="18"/>
                <w:szCs w:val="18"/>
              </w:rPr>
              <w:t>4.5%</w:t>
            </w:r>
          </w:p>
        </w:tc>
        <w:tc>
          <w:tcPr>
            <w:tcW w:w="1328" w:type="dxa"/>
            <w:tcBorders>
              <w:top w:val="nil"/>
              <w:left w:val="nil"/>
              <w:bottom w:val="nil"/>
              <w:right w:val="nil"/>
            </w:tcBorders>
            <w:shd w:val="clear" w:color="auto" w:fill="F7F9FB"/>
            <w:tcMar>
              <w:top w:w="50" w:type="dxa"/>
              <w:left w:w="100" w:type="dxa"/>
              <w:bottom w:w="50" w:type="dxa"/>
              <w:right w:w="100" w:type="dxa"/>
            </w:tcMar>
          </w:tcPr>
          <w:p w14:paraId="7FA8C1A5" w14:textId="77777777" w:rsidR="00E50131" w:rsidRDefault="00000000">
            <w:pPr>
              <w:spacing w:before="20" w:after="20"/>
              <w:jc w:val="right"/>
            </w:pPr>
            <w:r>
              <w:rPr>
                <w:rFonts w:ascii="Calibri" w:eastAsia="Calibri" w:hAnsi="Calibri" w:cs="Calibri"/>
                <w:b/>
                <w:bCs/>
                <w:color w:val="2C3E50"/>
                <w:sz w:val="18"/>
                <w:szCs w:val="18"/>
              </w:rPr>
              <w:t>$600</w:t>
            </w:r>
          </w:p>
        </w:tc>
        <w:tc>
          <w:tcPr>
            <w:tcW w:w="1328" w:type="dxa"/>
            <w:tcBorders>
              <w:top w:val="nil"/>
              <w:left w:val="nil"/>
              <w:bottom w:val="nil"/>
              <w:right w:val="nil"/>
            </w:tcBorders>
            <w:shd w:val="clear" w:color="auto" w:fill="F7F9FB"/>
            <w:tcMar>
              <w:top w:w="50" w:type="dxa"/>
              <w:left w:w="100" w:type="dxa"/>
              <w:bottom w:w="50" w:type="dxa"/>
              <w:right w:w="100" w:type="dxa"/>
            </w:tcMar>
          </w:tcPr>
          <w:p w14:paraId="0819CCCF" w14:textId="77777777" w:rsidR="00E50131" w:rsidRDefault="00000000">
            <w:pPr>
              <w:spacing w:before="20" w:after="20"/>
              <w:jc w:val="right"/>
            </w:pPr>
            <w:r>
              <w:rPr>
                <w:rFonts w:ascii="Calibri" w:eastAsia="Calibri" w:hAnsi="Calibri" w:cs="Calibri"/>
                <w:b/>
                <w:bCs/>
                <w:color w:val="2C3E50"/>
                <w:sz w:val="18"/>
                <w:szCs w:val="18"/>
              </w:rPr>
              <w:t>$521</w:t>
            </w:r>
          </w:p>
        </w:tc>
        <w:tc>
          <w:tcPr>
            <w:tcW w:w="1328" w:type="dxa"/>
            <w:tcBorders>
              <w:top w:val="nil"/>
              <w:left w:val="nil"/>
              <w:bottom w:val="nil"/>
              <w:right w:val="nil"/>
            </w:tcBorders>
            <w:shd w:val="clear" w:color="auto" w:fill="F7F9FB"/>
            <w:tcMar>
              <w:top w:w="50" w:type="dxa"/>
              <w:left w:w="100" w:type="dxa"/>
              <w:bottom w:w="50" w:type="dxa"/>
              <w:right w:w="100" w:type="dxa"/>
            </w:tcMar>
          </w:tcPr>
          <w:p w14:paraId="60D2CA09" w14:textId="77777777" w:rsidR="00E50131" w:rsidRDefault="00000000">
            <w:pPr>
              <w:spacing w:before="20" w:after="20"/>
              <w:jc w:val="right"/>
            </w:pPr>
            <w:r>
              <w:rPr>
                <w:rFonts w:ascii="Calibri" w:eastAsia="Calibri" w:hAnsi="Calibri" w:cs="Calibri"/>
                <w:b/>
                <w:bCs/>
                <w:color w:val="2C3E50"/>
                <w:sz w:val="18"/>
                <w:szCs w:val="18"/>
              </w:rPr>
              <w:t>$458</w:t>
            </w:r>
          </w:p>
        </w:tc>
        <w:tc>
          <w:tcPr>
            <w:tcW w:w="1328" w:type="dxa"/>
            <w:tcBorders>
              <w:top w:val="nil"/>
              <w:left w:val="nil"/>
              <w:bottom w:val="nil"/>
              <w:right w:val="nil"/>
            </w:tcBorders>
            <w:shd w:val="clear" w:color="auto" w:fill="F7F9FB"/>
            <w:tcMar>
              <w:top w:w="50" w:type="dxa"/>
              <w:left w:w="100" w:type="dxa"/>
              <w:bottom w:w="50" w:type="dxa"/>
              <w:right w:w="100" w:type="dxa"/>
            </w:tcMar>
          </w:tcPr>
          <w:p w14:paraId="119D94E3" w14:textId="77777777" w:rsidR="00E50131" w:rsidRDefault="00000000">
            <w:pPr>
              <w:spacing w:before="20" w:after="20"/>
              <w:jc w:val="right"/>
            </w:pPr>
            <w:r>
              <w:rPr>
                <w:rFonts w:ascii="Calibri" w:eastAsia="Calibri" w:hAnsi="Calibri" w:cs="Calibri"/>
                <w:b/>
                <w:bCs/>
                <w:color w:val="2C3E50"/>
                <w:sz w:val="18"/>
                <w:szCs w:val="18"/>
              </w:rPr>
              <w:t>$408</w:t>
            </w:r>
          </w:p>
        </w:tc>
        <w:tc>
          <w:tcPr>
            <w:tcW w:w="1328" w:type="dxa"/>
            <w:tcBorders>
              <w:top w:val="nil"/>
              <w:left w:val="nil"/>
              <w:bottom w:val="nil"/>
              <w:right w:val="nil"/>
            </w:tcBorders>
            <w:shd w:val="clear" w:color="auto" w:fill="F7F9FB"/>
            <w:tcMar>
              <w:top w:w="50" w:type="dxa"/>
              <w:left w:w="100" w:type="dxa"/>
              <w:bottom w:w="50" w:type="dxa"/>
              <w:right w:w="100" w:type="dxa"/>
            </w:tcMar>
          </w:tcPr>
          <w:p w14:paraId="6565853B" w14:textId="77777777" w:rsidR="00E50131" w:rsidRDefault="00000000">
            <w:pPr>
              <w:spacing w:before="20" w:after="20"/>
              <w:jc w:val="right"/>
            </w:pPr>
            <w:r>
              <w:rPr>
                <w:rFonts w:ascii="Calibri" w:eastAsia="Calibri" w:hAnsi="Calibri" w:cs="Calibri"/>
                <w:b/>
                <w:bCs/>
                <w:color w:val="2C3E50"/>
                <w:sz w:val="18"/>
                <w:szCs w:val="18"/>
              </w:rPr>
              <w:t>$368</w:t>
            </w:r>
          </w:p>
        </w:tc>
      </w:tr>
    </w:tbl>
    <w:p w14:paraId="76EE1489" w14:textId="77777777" w:rsidR="00E50131" w:rsidRDefault="00E50131">
      <w:pPr>
        <w:spacing w:before="60"/>
      </w:pPr>
    </w:p>
    <w:p w14:paraId="2696C874" w14:textId="77777777" w:rsidR="00E50131" w:rsidRDefault="00000000">
      <w:pPr>
        <w:spacing w:before="80" w:after="80" w:line="312" w:lineRule="auto"/>
      </w:pPr>
      <w:r>
        <w:rPr>
          <w:i/>
          <w:iCs/>
        </w:rPr>
        <w:t>The shaded diagonal (7.5% WACC / 2.5% TGR through 9.5% WACC / 4.5% TGR) represents roughly equivalent risk-return profiles. Our base case of 8.5% / 3.5% sits in the centre. Even in a bear scenario (9.5% WACC, 2.5% TGR), intrinsic value of $284 implies only ~7% downside from the current price, demonstrating the asymmetric risk-reward profile.</w:t>
      </w:r>
    </w:p>
    <w:p w14:paraId="0194DE24" w14:textId="77777777" w:rsidR="00E50131" w:rsidRDefault="00000000">
      <w:pPr>
        <w:spacing w:before="280" w:after="80"/>
      </w:pPr>
      <w:r>
        <w:rPr>
          <w:rFonts w:ascii="Calibri" w:eastAsia="Calibri" w:hAnsi="Calibri" w:cs="Calibri"/>
          <w:b/>
          <w:bCs/>
          <w:color w:val="2874A6"/>
          <w:sz w:val="24"/>
          <w:szCs w:val="24"/>
        </w:rPr>
        <w:t>Sum-of-the-Parts Cross-Check</w:t>
      </w:r>
    </w:p>
    <w:p w14:paraId="471AAFF1" w14:textId="77777777" w:rsidR="00E50131" w:rsidRDefault="00000000">
      <w:pPr>
        <w:spacing w:before="80" w:after="80" w:line="312" w:lineRule="auto"/>
      </w:pPr>
      <w:r>
        <w:t>As a validation of the DCF, we construct a segment-level sum-of-the-parts (SOTP) analysis:</w:t>
      </w:r>
    </w:p>
    <w:p w14:paraId="65DC987A" w14:textId="77777777" w:rsidR="00E50131" w:rsidRDefault="00E50131">
      <w:pPr>
        <w:spacing w:before="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800"/>
        <w:gridCol w:w="2240"/>
      </w:tblGrid>
      <w:tr w:rsidR="00E50131" w14:paraId="355B5D73" w14:textId="77777777">
        <w:trPr>
          <w:tblHeader/>
        </w:trPr>
        <w:tc>
          <w:tcPr>
            <w:tcW w:w="2400" w:type="dxa"/>
            <w:tcBorders>
              <w:top w:val="single" w:sz="8" w:space="0" w:color="1B4F72"/>
              <w:left w:val="none" w:sz="0" w:space="0" w:color="FFFFFF"/>
              <w:bottom w:val="single" w:sz="8" w:space="0" w:color="1B4F72"/>
              <w:right w:val="none" w:sz="0" w:space="0" w:color="FFFFFF"/>
            </w:tcBorders>
            <w:shd w:val="clear" w:color="auto" w:fill="1B4F72"/>
            <w:tcMar>
              <w:top w:w="70" w:type="dxa"/>
              <w:left w:w="160" w:type="dxa"/>
              <w:bottom w:w="70" w:type="dxa"/>
              <w:right w:w="100" w:type="dxa"/>
            </w:tcMar>
          </w:tcPr>
          <w:p w14:paraId="5AD26326" w14:textId="77777777" w:rsidR="00E50131" w:rsidRDefault="00000000">
            <w:r>
              <w:rPr>
                <w:rFonts w:ascii="Calibri" w:eastAsia="Calibri" w:hAnsi="Calibri" w:cs="Calibri"/>
                <w:b/>
                <w:bCs/>
                <w:color w:val="FFFFFF"/>
                <w:sz w:val="18"/>
                <w:szCs w:val="18"/>
              </w:rPr>
              <w:t>Segment</w:t>
            </w:r>
          </w:p>
        </w:tc>
        <w:tc>
          <w:tcPr>
            <w:tcW w:w="2200"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5432990C" w14:textId="77777777" w:rsidR="00E50131" w:rsidRDefault="00000000">
            <w:pPr>
              <w:jc w:val="right"/>
            </w:pPr>
            <w:r>
              <w:rPr>
                <w:rFonts w:ascii="Calibri" w:eastAsia="Calibri" w:hAnsi="Calibri" w:cs="Calibri"/>
                <w:b/>
                <w:bCs/>
                <w:color w:val="FFFFFF"/>
                <w:sz w:val="18"/>
                <w:szCs w:val="18"/>
              </w:rPr>
              <w:t>Metric</w:t>
            </w:r>
          </w:p>
        </w:tc>
        <w:tc>
          <w:tcPr>
            <w:tcW w:w="1800"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34263EF2" w14:textId="77777777" w:rsidR="00E50131" w:rsidRDefault="00000000">
            <w:pPr>
              <w:jc w:val="right"/>
            </w:pPr>
            <w:r>
              <w:rPr>
                <w:rFonts w:ascii="Calibri" w:eastAsia="Calibri" w:hAnsi="Calibri" w:cs="Calibri"/>
                <w:b/>
                <w:bCs/>
                <w:color w:val="FFFFFF"/>
                <w:sz w:val="18"/>
                <w:szCs w:val="18"/>
              </w:rPr>
              <w:t>Multiple</w:t>
            </w:r>
          </w:p>
        </w:tc>
        <w:tc>
          <w:tcPr>
            <w:tcW w:w="2240" w:type="dxa"/>
            <w:tcBorders>
              <w:top w:val="single" w:sz="8" w:space="0" w:color="1B4F72"/>
              <w:left w:val="none" w:sz="0" w:space="0" w:color="FFFFFF"/>
              <w:bottom w:val="single" w:sz="8" w:space="0" w:color="1B4F72"/>
              <w:right w:val="none" w:sz="0" w:space="0" w:color="FFFFFF"/>
            </w:tcBorders>
            <w:shd w:val="clear" w:color="auto" w:fill="1B4F72"/>
            <w:tcMar>
              <w:top w:w="70" w:type="dxa"/>
              <w:left w:w="100" w:type="dxa"/>
              <w:bottom w:w="70" w:type="dxa"/>
              <w:right w:w="100" w:type="dxa"/>
            </w:tcMar>
          </w:tcPr>
          <w:p w14:paraId="3A499EBC" w14:textId="77777777" w:rsidR="00E50131" w:rsidRDefault="00000000">
            <w:pPr>
              <w:jc w:val="right"/>
            </w:pPr>
            <w:r>
              <w:rPr>
                <w:rFonts w:ascii="Calibri" w:eastAsia="Calibri" w:hAnsi="Calibri" w:cs="Calibri"/>
                <w:b/>
                <w:bCs/>
                <w:color w:val="FFFFFF"/>
                <w:sz w:val="18"/>
                <w:szCs w:val="18"/>
              </w:rPr>
              <w:t>Implied Value</w:t>
            </w:r>
          </w:p>
        </w:tc>
      </w:tr>
      <w:tr w:rsidR="00E50131" w14:paraId="5AE78BBE" w14:textId="77777777">
        <w:tc>
          <w:tcPr>
            <w:tcW w:w="2400" w:type="dxa"/>
            <w:tcBorders>
              <w:top w:val="none" w:sz="0" w:space="0" w:color="FFFFFF"/>
              <w:left w:val="none" w:sz="0" w:space="0" w:color="FFFFFF"/>
              <w:bottom w:val="single" w:sz="2" w:space="0" w:color="D5D8DC"/>
              <w:right w:val="none" w:sz="0" w:space="0" w:color="FFFFFF"/>
            </w:tcBorders>
            <w:shd w:val="clear" w:color="auto" w:fill="F7F9FB"/>
            <w:tcMar>
              <w:top w:w="50" w:type="dxa"/>
              <w:left w:w="160" w:type="dxa"/>
              <w:bottom w:w="50" w:type="dxa"/>
              <w:right w:w="100" w:type="dxa"/>
            </w:tcMar>
          </w:tcPr>
          <w:p w14:paraId="0D1CE5BD" w14:textId="77777777" w:rsidR="00E50131" w:rsidRDefault="00000000">
            <w:pPr>
              <w:spacing w:before="20" w:after="20"/>
            </w:pPr>
            <w:r>
              <w:rPr>
                <w:rFonts w:ascii="Calibri" w:eastAsia="Calibri" w:hAnsi="Calibri" w:cs="Calibri"/>
                <w:b/>
                <w:bCs/>
                <w:color w:val="2C3E50"/>
                <w:sz w:val="18"/>
                <w:szCs w:val="18"/>
              </w:rPr>
              <w:t>Google Services</w:t>
            </w:r>
          </w:p>
        </w:tc>
        <w:tc>
          <w:tcPr>
            <w:tcW w:w="220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28A638C9" w14:textId="77777777" w:rsidR="00E50131" w:rsidRDefault="00000000">
            <w:pPr>
              <w:spacing w:before="20" w:after="20"/>
              <w:jc w:val="right"/>
            </w:pPr>
            <w:r>
              <w:rPr>
                <w:rFonts w:ascii="Calibri" w:eastAsia="Calibri" w:hAnsi="Calibri" w:cs="Calibri"/>
                <w:b/>
                <w:bCs/>
                <w:color w:val="2C3E50"/>
                <w:sz w:val="18"/>
                <w:szCs w:val="18"/>
              </w:rPr>
              <w:t>$382B rev (FY25)</w:t>
            </w:r>
          </w:p>
        </w:tc>
        <w:tc>
          <w:tcPr>
            <w:tcW w:w="180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0BDD488C" w14:textId="77777777" w:rsidR="00E50131" w:rsidRDefault="00000000">
            <w:pPr>
              <w:spacing w:before="20" w:after="20"/>
              <w:jc w:val="right"/>
            </w:pPr>
            <w:r>
              <w:rPr>
                <w:rFonts w:ascii="Calibri" w:eastAsia="Calibri" w:hAnsi="Calibri" w:cs="Calibri"/>
                <w:b/>
                <w:bCs/>
                <w:color w:val="2C3E50"/>
                <w:sz w:val="18"/>
                <w:szCs w:val="18"/>
              </w:rPr>
              <w:t>5.5x Revenue</w:t>
            </w:r>
          </w:p>
        </w:tc>
        <w:tc>
          <w:tcPr>
            <w:tcW w:w="224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4334C7F3" w14:textId="77777777" w:rsidR="00E50131" w:rsidRDefault="00000000">
            <w:pPr>
              <w:spacing w:before="20" w:after="20"/>
              <w:jc w:val="right"/>
            </w:pPr>
            <w:r>
              <w:rPr>
                <w:rFonts w:ascii="Calibri" w:eastAsia="Calibri" w:hAnsi="Calibri" w:cs="Calibri"/>
                <w:b/>
                <w:bCs/>
                <w:color w:val="2C3E50"/>
                <w:sz w:val="18"/>
                <w:szCs w:val="18"/>
              </w:rPr>
              <w:t>$2,101B</w:t>
            </w:r>
          </w:p>
        </w:tc>
      </w:tr>
      <w:tr w:rsidR="00E50131" w14:paraId="3D3FB8FD" w14:textId="77777777">
        <w:tc>
          <w:tcPr>
            <w:tcW w:w="2400" w:type="dxa"/>
            <w:tcBorders>
              <w:top w:val="none" w:sz="0" w:space="0" w:color="FFFFFF"/>
              <w:left w:val="none" w:sz="0" w:space="0" w:color="FFFFFF"/>
              <w:bottom w:val="single" w:sz="2" w:space="0" w:color="D5D8DC"/>
              <w:right w:val="none" w:sz="0" w:space="0" w:color="FFFFFF"/>
            </w:tcBorders>
            <w:shd w:val="clear" w:color="auto" w:fill="FFFFFF"/>
            <w:tcMar>
              <w:top w:w="50" w:type="dxa"/>
              <w:left w:w="160" w:type="dxa"/>
              <w:bottom w:w="50" w:type="dxa"/>
              <w:right w:w="100" w:type="dxa"/>
            </w:tcMar>
          </w:tcPr>
          <w:p w14:paraId="7FE8E963" w14:textId="77777777" w:rsidR="00E50131" w:rsidRDefault="00000000">
            <w:pPr>
              <w:spacing w:before="20" w:after="20"/>
            </w:pPr>
            <w:r>
              <w:rPr>
                <w:rFonts w:ascii="Calibri" w:eastAsia="Calibri" w:hAnsi="Calibri" w:cs="Calibri"/>
                <w:b/>
                <w:bCs/>
                <w:color w:val="2C3E50"/>
                <w:sz w:val="18"/>
                <w:szCs w:val="18"/>
              </w:rPr>
              <w:t>Google Cloud</w:t>
            </w:r>
          </w:p>
        </w:tc>
        <w:tc>
          <w:tcPr>
            <w:tcW w:w="220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254E745A" w14:textId="77777777" w:rsidR="00E50131" w:rsidRDefault="00000000">
            <w:pPr>
              <w:spacing w:before="20" w:after="20"/>
              <w:jc w:val="right"/>
            </w:pPr>
            <w:r>
              <w:rPr>
                <w:rFonts w:ascii="Calibri" w:eastAsia="Calibri" w:hAnsi="Calibri" w:cs="Calibri"/>
                <w:b/>
                <w:bCs/>
                <w:color w:val="2C3E50"/>
                <w:sz w:val="18"/>
                <w:szCs w:val="18"/>
              </w:rPr>
              <w:t>$70B+ run rate</w:t>
            </w:r>
          </w:p>
        </w:tc>
        <w:tc>
          <w:tcPr>
            <w:tcW w:w="180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4DD25E10" w14:textId="77777777" w:rsidR="00E50131" w:rsidRDefault="00000000">
            <w:pPr>
              <w:spacing w:before="20" w:after="20"/>
              <w:jc w:val="right"/>
            </w:pPr>
            <w:r>
              <w:rPr>
                <w:rFonts w:ascii="Calibri" w:eastAsia="Calibri" w:hAnsi="Calibri" w:cs="Calibri"/>
                <w:b/>
                <w:bCs/>
                <w:color w:val="2C3E50"/>
                <w:sz w:val="18"/>
                <w:szCs w:val="18"/>
              </w:rPr>
              <w:t>15x Revenue</w:t>
            </w:r>
          </w:p>
        </w:tc>
        <w:tc>
          <w:tcPr>
            <w:tcW w:w="224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1A6F5C96" w14:textId="77777777" w:rsidR="00E50131" w:rsidRDefault="00000000">
            <w:pPr>
              <w:spacing w:before="20" w:after="20"/>
              <w:jc w:val="right"/>
            </w:pPr>
            <w:r>
              <w:rPr>
                <w:rFonts w:ascii="Calibri" w:eastAsia="Calibri" w:hAnsi="Calibri" w:cs="Calibri"/>
                <w:b/>
                <w:bCs/>
                <w:color w:val="2C3E50"/>
                <w:sz w:val="18"/>
                <w:szCs w:val="18"/>
              </w:rPr>
              <w:t>$1,050B</w:t>
            </w:r>
          </w:p>
        </w:tc>
      </w:tr>
      <w:tr w:rsidR="00E50131" w14:paraId="7A3FD2DD" w14:textId="77777777">
        <w:tc>
          <w:tcPr>
            <w:tcW w:w="2400" w:type="dxa"/>
            <w:tcBorders>
              <w:top w:val="none" w:sz="0" w:space="0" w:color="FFFFFF"/>
              <w:left w:val="none" w:sz="0" w:space="0" w:color="FFFFFF"/>
              <w:bottom w:val="single" w:sz="2" w:space="0" w:color="D5D8DC"/>
              <w:right w:val="none" w:sz="0" w:space="0" w:color="FFFFFF"/>
            </w:tcBorders>
            <w:shd w:val="clear" w:color="auto" w:fill="F7F9FB"/>
            <w:tcMar>
              <w:top w:w="50" w:type="dxa"/>
              <w:left w:w="160" w:type="dxa"/>
              <w:bottom w:w="50" w:type="dxa"/>
              <w:right w:w="100" w:type="dxa"/>
            </w:tcMar>
          </w:tcPr>
          <w:p w14:paraId="50A89B39" w14:textId="77777777" w:rsidR="00E50131" w:rsidRDefault="00000000">
            <w:pPr>
              <w:spacing w:before="20" w:after="20"/>
            </w:pPr>
            <w:r>
              <w:rPr>
                <w:rFonts w:ascii="Calibri" w:eastAsia="Calibri" w:hAnsi="Calibri" w:cs="Calibri"/>
                <w:b/>
                <w:bCs/>
                <w:color w:val="2C3E50"/>
                <w:sz w:val="18"/>
                <w:szCs w:val="18"/>
              </w:rPr>
              <w:t>Waymo</w:t>
            </w:r>
          </w:p>
        </w:tc>
        <w:tc>
          <w:tcPr>
            <w:tcW w:w="220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6F57C753" w14:textId="77777777" w:rsidR="00E50131" w:rsidRDefault="00000000">
            <w:pPr>
              <w:spacing w:before="20" w:after="20"/>
              <w:jc w:val="right"/>
            </w:pPr>
            <w:r>
              <w:rPr>
                <w:rFonts w:ascii="Calibri" w:eastAsia="Calibri" w:hAnsi="Calibri" w:cs="Calibri"/>
                <w:b/>
                <w:bCs/>
                <w:color w:val="2C3E50"/>
                <w:sz w:val="18"/>
                <w:szCs w:val="18"/>
              </w:rPr>
              <w:t>External valuation</w:t>
            </w:r>
          </w:p>
        </w:tc>
        <w:tc>
          <w:tcPr>
            <w:tcW w:w="180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1586B164" w14:textId="77777777" w:rsidR="00E50131" w:rsidRDefault="00000000">
            <w:pPr>
              <w:spacing w:before="20" w:after="20"/>
              <w:jc w:val="right"/>
            </w:pPr>
            <w:r>
              <w:rPr>
                <w:rFonts w:ascii="Calibri" w:eastAsia="Calibri" w:hAnsi="Calibri" w:cs="Calibri"/>
                <w:b/>
                <w:bCs/>
                <w:color w:val="2C3E50"/>
                <w:sz w:val="18"/>
                <w:szCs w:val="18"/>
              </w:rPr>
              <w:t>1.0x</w:t>
            </w:r>
          </w:p>
        </w:tc>
        <w:tc>
          <w:tcPr>
            <w:tcW w:w="224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6B5014EE" w14:textId="77777777" w:rsidR="00E50131" w:rsidRDefault="00000000">
            <w:pPr>
              <w:spacing w:before="20" w:after="20"/>
              <w:jc w:val="right"/>
            </w:pPr>
            <w:r>
              <w:rPr>
                <w:rFonts w:ascii="Calibri" w:eastAsia="Calibri" w:hAnsi="Calibri" w:cs="Calibri"/>
                <w:b/>
                <w:bCs/>
                <w:color w:val="2C3E50"/>
                <w:sz w:val="18"/>
                <w:szCs w:val="18"/>
              </w:rPr>
              <w:t>$126B</w:t>
            </w:r>
          </w:p>
        </w:tc>
      </w:tr>
      <w:tr w:rsidR="00E50131" w14:paraId="64BC8430" w14:textId="77777777">
        <w:tc>
          <w:tcPr>
            <w:tcW w:w="2400" w:type="dxa"/>
            <w:tcBorders>
              <w:top w:val="none" w:sz="0" w:space="0" w:color="FFFFFF"/>
              <w:left w:val="none" w:sz="0" w:space="0" w:color="FFFFFF"/>
              <w:bottom w:val="single" w:sz="2" w:space="0" w:color="D5D8DC"/>
              <w:right w:val="none" w:sz="0" w:space="0" w:color="FFFFFF"/>
            </w:tcBorders>
            <w:shd w:val="clear" w:color="auto" w:fill="FFFFFF"/>
            <w:tcMar>
              <w:top w:w="50" w:type="dxa"/>
              <w:left w:w="160" w:type="dxa"/>
              <w:bottom w:w="50" w:type="dxa"/>
              <w:right w:w="100" w:type="dxa"/>
            </w:tcMar>
          </w:tcPr>
          <w:p w14:paraId="7D895168" w14:textId="77777777" w:rsidR="00E50131" w:rsidRDefault="00000000">
            <w:pPr>
              <w:spacing w:before="20" w:after="20"/>
            </w:pPr>
            <w:r>
              <w:rPr>
                <w:rFonts w:ascii="Calibri" w:eastAsia="Calibri" w:hAnsi="Calibri" w:cs="Calibri"/>
                <w:b/>
                <w:bCs/>
                <w:color w:val="2C3E50"/>
                <w:sz w:val="18"/>
                <w:szCs w:val="18"/>
              </w:rPr>
              <w:t>Other Bets / Quantum</w:t>
            </w:r>
          </w:p>
        </w:tc>
        <w:tc>
          <w:tcPr>
            <w:tcW w:w="220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1804FCFE" w14:textId="77777777" w:rsidR="00E50131" w:rsidRDefault="00000000">
            <w:pPr>
              <w:spacing w:before="20" w:after="20"/>
              <w:jc w:val="right"/>
            </w:pPr>
            <w:r>
              <w:rPr>
                <w:rFonts w:ascii="Calibri" w:eastAsia="Calibri" w:hAnsi="Calibri" w:cs="Calibri"/>
                <w:b/>
                <w:bCs/>
                <w:color w:val="2C3E50"/>
                <w:sz w:val="18"/>
                <w:szCs w:val="18"/>
              </w:rPr>
              <w:t>Option value</w:t>
            </w:r>
          </w:p>
        </w:tc>
        <w:tc>
          <w:tcPr>
            <w:tcW w:w="180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126A59A5" w14:textId="77777777" w:rsidR="00E50131" w:rsidRDefault="00000000">
            <w:pPr>
              <w:spacing w:before="20" w:after="20"/>
              <w:jc w:val="right"/>
            </w:pPr>
            <w:r>
              <w:rPr>
                <w:rFonts w:ascii="Calibri" w:eastAsia="Calibri" w:hAnsi="Calibri" w:cs="Calibri"/>
                <w:b/>
                <w:bCs/>
                <w:color w:val="2C3E50"/>
                <w:sz w:val="18"/>
                <w:szCs w:val="18"/>
              </w:rPr>
              <w:t>Nominal</w:t>
            </w:r>
          </w:p>
        </w:tc>
        <w:tc>
          <w:tcPr>
            <w:tcW w:w="2240" w:type="dxa"/>
            <w:tcBorders>
              <w:top w:val="none" w:sz="0" w:space="0" w:color="FFFFFF"/>
              <w:left w:val="none" w:sz="0" w:space="0" w:color="FFFFFF"/>
              <w:bottom w:val="single" w:sz="2" w:space="0" w:color="D5D8DC"/>
              <w:right w:val="none" w:sz="0" w:space="0" w:color="FFFFFF"/>
            </w:tcBorders>
            <w:shd w:val="clear" w:color="auto" w:fill="FFFFFF"/>
            <w:tcMar>
              <w:top w:w="50" w:type="dxa"/>
              <w:left w:w="100" w:type="dxa"/>
              <w:bottom w:w="50" w:type="dxa"/>
              <w:right w:w="100" w:type="dxa"/>
            </w:tcMar>
          </w:tcPr>
          <w:p w14:paraId="14FDB95B" w14:textId="77777777" w:rsidR="00E50131" w:rsidRDefault="00000000">
            <w:pPr>
              <w:spacing w:before="20" w:after="20"/>
              <w:jc w:val="right"/>
            </w:pPr>
            <w:r>
              <w:rPr>
                <w:rFonts w:ascii="Calibri" w:eastAsia="Calibri" w:hAnsi="Calibri" w:cs="Calibri"/>
                <w:b/>
                <w:bCs/>
                <w:color w:val="2C3E50"/>
                <w:sz w:val="18"/>
                <w:szCs w:val="18"/>
              </w:rPr>
              <w:t>$30B</w:t>
            </w:r>
          </w:p>
        </w:tc>
      </w:tr>
      <w:tr w:rsidR="00E50131" w14:paraId="7F5A2200" w14:textId="77777777">
        <w:tc>
          <w:tcPr>
            <w:tcW w:w="2400" w:type="dxa"/>
            <w:tcBorders>
              <w:top w:val="none" w:sz="0" w:space="0" w:color="FFFFFF"/>
              <w:left w:val="none" w:sz="0" w:space="0" w:color="FFFFFF"/>
              <w:bottom w:val="single" w:sz="2" w:space="0" w:color="D5D8DC"/>
              <w:right w:val="none" w:sz="0" w:space="0" w:color="FFFFFF"/>
            </w:tcBorders>
            <w:shd w:val="clear" w:color="auto" w:fill="F7F9FB"/>
            <w:tcMar>
              <w:top w:w="50" w:type="dxa"/>
              <w:left w:w="160" w:type="dxa"/>
              <w:bottom w:w="50" w:type="dxa"/>
              <w:right w:w="100" w:type="dxa"/>
            </w:tcMar>
          </w:tcPr>
          <w:p w14:paraId="2F28251E" w14:textId="77777777" w:rsidR="00E50131" w:rsidRDefault="00000000">
            <w:pPr>
              <w:spacing w:before="20" w:after="20"/>
            </w:pPr>
            <w:r>
              <w:rPr>
                <w:rFonts w:ascii="Calibri" w:eastAsia="Calibri" w:hAnsi="Calibri" w:cs="Calibri"/>
                <w:b/>
                <w:bCs/>
                <w:color w:val="2C3E50"/>
                <w:sz w:val="18"/>
                <w:szCs w:val="18"/>
              </w:rPr>
              <w:t>Less: Net Cash</w:t>
            </w:r>
          </w:p>
        </w:tc>
        <w:tc>
          <w:tcPr>
            <w:tcW w:w="220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3224B728" w14:textId="77777777" w:rsidR="00E50131" w:rsidRDefault="00E50131">
            <w:pPr>
              <w:spacing w:before="20" w:after="20"/>
              <w:jc w:val="right"/>
            </w:pPr>
          </w:p>
        </w:tc>
        <w:tc>
          <w:tcPr>
            <w:tcW w:w="180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45934968" w14:textId="77777777" w:rsidR="00E50131" w:rsidRDefault="00E50131">
            <w:pPr>
              <w:spacing w:before="20" w:after="20"/>
              <w:jc w:val="right"/>
            </w:pPr>
          </w:p>
        </w:tc>
        <w:tc>
          <w:tcPr>
            <w:tcW w:w="2240" w:type="dxa"/>
            <w:tcBorders>
              <w:top w:val="none" w:sz="0" w:space="0" w:color="FFFFFF"/>
              <w:left w:val="none" w:sz="0" w:space="0" w:color="FFFFFF"/>
              <w:bottom w:val="single" w:sz="2" w:space="0" w:color="D5D8DC"/>
              <w:right w:val="none" w:sz="0" w:space="0" w:color="FFFFFF"/>
            </w:tcBorders>
            <w:shd w:val="clear" w:color="auto" w:fill="F7F9FB"/>
            <w:tcMar>
              <w:top w:w="50" w:type="dxa"/>
              <w:left w:w="100" w:type="dxa"/>
              <w:bottom w:w="50" w:type="dxa"/>
              <w:right w:w="100" w:type="dxa"/>
            </w:tcMar>
          </w:tcPr>
          <w:p w14:paraId="3E73E662" w14:textId="77777777" w:rsidR="00E50131" w:rsidRDefault="00000000">
            <w:pPr>
              <w:spacing w:before="20" w:after="20"/>
              <w:jc w:val="right"/>
            </w:pPr>
            <w:r>
              <w:rPr>
                <w:rFonts w:ascii="Calibri" w:eastAsia="Calibri" w:hAnsi="Calibri" w:cs="Calibri"/>
                <w:b/>
                <w:bCs/>
                <w:color w:val="2C3E50"/>
                <w:sz w:val="18"/>
                <w:szCs w:val="18"/>
              </w:rPr>
              <w:t>+$80B</w:t>
            </w:r>
          </w:p>
        </w:tc>
      </w:tr>
      <w:tr w:rsidR="00E50131" w14:paraId="7067CEA0" w14:textId="77777777">
        <w:tc>
          <w:tcPr>
            <w:tcW w:w="2400" w:type="dxa"/>
            <w:tcBorders>
              <w:top w:val="single" w:sz="4" w:space="0" w:color="1B4F72"/>
              <w:left w:val="none" w:sz="0" w:space="0" w:color="FFFFFF"/>
              <w:bottom w:val="single" w:sz="2" w:space="0" w:color="D5D8DC"/>
              <w:right w:val="none" w:sz="0" w:space="0" w:color="FFFFFF"/>
            </w:tcBorders>
            <w:shd w:val="clear" w:color="auto" w:fill="E8F0FE"/>
            <w:tcMar>
              <w:top w:w="50" w:type="dxa"/>
              <w:left w:w="160" w:type="dxa"/>
              <w:bottom w:w="50" w:type="dxa"/>
              <w:right w:w="100" w:type="dxa"/>
            </w:tcMar>
          </w:tcPr>
          <w:p w14:paraId="3FD7697D" w14:textId="77777777" w:rsidR="00E50131" w:rsidRDefault="00000000">
            <w:pPr>
              <w:spacing w:before="20" w:after="20"/>
            </w:pPr>
            <w:r>
              <w:rPr>
                <w:rFonts w:ascii="Calibri" w:eastAsia="Calibri" w:hAnsi="Calibri" w:cs="Calibri"/>
                <w:b/>
                <w:bCs/>
                <w:color w:val="1B4F72"/>
                <w:sz w:val="18"/>
                <w:szCs w:val="18"/>
              </w:rPr>
              <w:t>Total Equity Value</w:t>
            </w:r>
          </w:p>
        </w:tc>
        <w:tc>
          <w:tcPr>
            <w:tcW w:w="2200" w:type="dxa"/>
            <w:tcBorders>
              <w:top w:val="single" w:sz="4" w:space="0" w:color="1B4F72"/>
              <w:left w:val="none" w:sz="0" w:space="0" w:color="FFFFFF"/>
              <w:bottom w:val="single" w:sz="2" w:space="0" w:color="D5D8DC"/>
              <w:right w:val="none" w:sz="0" w:space="0" w:color="FFFFFF"/>
            </w:tcBorders>
            <w:shd w:val="clear" w:color="auto" w:fill="E8F0FE"/>
            <w:tcMar>
              <w:top w:w="50" w:type="dxa"/>
              <w:left w:w="100" w:type="dxa"/>
              <w:bottom w:w="50" w:type="dxa"/>
              <w:right w:w="100" w:type="dxa"/>
            </w:tcMar>
          </w:tcPr>
          <w:p w14:paraId="45F6B441" w14:textId="77777777" w:rsidR="00E50131" w:rsidRDefault="00E50131">
            <w:pPr>
              <w:spacing w:before="20" w:after="20"/>
              <w:jc w:val="right"/>
            </w:pPr>
          </w:p>
        </w:tc>
        <w:tc>
          <w:tcPr>
            <w:tcW w:w="1800" w:type="dxa"/>
            <w:tcBorders>
              <w:top w:val="single" w:sz="4" w:space="0" w:color="1B4F72"/>
              <w:left w:val="none" w:sz="0" w:space="0" w:color="FFFFFF"/>
              <w:bottom w:val="single" w:sz="2" w:space="0" w:color="D5D8DC"/>
              <w:right w:val="none" w:sz="0" w:space="0" w:color="FFFFFF"/>
            </w:tcBorders>
            <w:shd w:val="clear" w:color="auto" w:fill="E8F0FE"/>
            <w:tcMar>
              <w:top w:w="50" w:type="dxa"/>
              <w:left w:w="100" w:type="dxa"/>
              <w:bottom w:w="50" w:type="dxa"/>
              <w:right w:w="100" w:type="dxa"/>
            </w:tcMar>
          </w:tcPr>
          <w:p w14:paraId="246E0545" w14:textId="77777777" w:rsidR="00E50131" w:rsidRDefault="00E50131">
            <w:pPr>
              <w:spacing w:before="20" w:after="20"/>
              <w:jc w:val="right"/>
            </w:pPr>
          </w:p>
        </w:tc>
        <w:tc>
          <w:tcPr>
            <w:tcW w:w="2240" w:type="dxa"/>
            <w:tcBorders>
              <w:top w:val="single" w:sz="4" w:space="0" w:color="1B4F72"/>
              <w:left w:val="none" w:sz="0" w:space="0" w:color="FFFFFF"/>
              <w:bottom w:val="single" w:sz="2" w:space="0" w:color="D5D8DC"/>
              <w:right w:val="none" w:sz="0" w:space="0" w:color="FFFFFF"/>
            </w:tcBorders>
            <w:shd w:val="clear" w:color="auto" w:fill="E8F0FE"/>
            <w:tcMar>
              <w:top w:w="50" w:type="dxa"/>
              <w:left w:w="100" w:type="dxa"/>
              <w:bottom w:w="50" w:type="dxa"/>
              <w:right w:w="100" w:type="dxa"/>
            </w:tcMar>
          </w:tcPr>
          <w:p w14:paraId="2BCCF1DF" w14:textId="77777777" w:rsidR="00E50131" w:rsidRDefault="00000000">
            <w:pPr>
              <w:spacing w:before="20" w:after="20"/>
              <w:jc w:val="right"/>
            </w:pPr>
            <w:r>
              <w:rPr>
                <w:rFonts w:ascii="Calibri" w:eastAsia="Calibri" w:hAnsi="Calibri" w:cs="Calibri"/>
                <w:b/>
                <w:bCs/>
                <w:color w:val="1B4F72"/>
                <w:sz w:val="18"/>
                <w:szCs w:val="18"/>
              </w:rPr>
              <w:t>$3,387B</w:t>
            </w:r>
          </w:p>
        </w:tc>
      </w:tr>
      <w:tr w:rsidR="00E50131" w14:paraId="01E0670E" w14:textId="77777777">
        <w:tc>
          <w:tcPr>
            <w:tcW w:w="2400" w:type="dxa"/>
            <w:tcBorders>
              <w:top w:val="single" w:sz="4" w:space="0" w:color="1B4F72"/>
              <w:left w:val="none" w:sz="0" w:space="0" w:color="FFFFFF"/>
              <w:bottom w:val="single" w:sz="2" w:space="0" w:color="D5D8DC"/>
              <w:right w:val="none" w:sz="0" w:space="0" w:color="FFFFFF"/>
            </w:tcBorders>
            <w:shd w:val="clear" w:color="auto" w:fill="E8F0FE"/>
            <w:tcMar>
              <w:top w:w="50" w:type="dxa"/>
              <w:left w:w="160" w:type="dxa"/>
              <w:bottom w:w="50" w:type="dxa"/>
              <w:right w:w="100" w:type="dxa"/>
            </w:tcMar>
          </w:tcPr>
          <w:p w14:paraId="596ECF6D" w14:textId="77777777" w:rsidR="00E50131" w:rsidRDefault="00000000">
            <w:pPr>
              <w:spacing w:before="20" w:after="20"/>
            </w:pPr>
            <w:r>
              <w:rPr>
                <w:rFonts w:ascii="Calibri" w:eastAsia="Calibri" w:hAnsi="Calibri" w:cs="Calibri"/>
                <w:b/>
                <w:bCs/>
                <w:color w:val="1B4F72"/>
                <w:sz w:val="18"/>
                <w:szCs w:val="18"/>
              </w:rPr>
              <w:t>Per Share (conservative)</w:t>
            </w:r>
          </w:p>
        </w:tc>
        <w:tc>
          <w:tcPr>
            <w:tcW w:w="2200" w:type="dxa"/>
            <w:tcBorders>
              <w:top w:val="single" w:sz="4" w:space="0" w:color="1B4F72"/>
              <w:left w:val="none" w:sz="0" w:space="0" w:color="FFFFFF"/>
              <w:bottom w:val="single" w:sz="2" w:space="0" w:color="D5D8DC"/>
              <w:right w:val="none" w:sz="0" w:space="0" w:color="FFFFFF"/>
            </w:tcBorders>
            <w:shd w:val="clear" w:color="auto" w:fill="E8F0FE"/>
            <w:tcMar>
              <w:top w:w="50" w:type="dxa"/>
              <w:left w:w="100" w:type="dxa"/>
              <w:bottom w:w="50" w:type="dxa"/>
              <w:right w:w="100" w:type="dxa"/>
            </w:tcMar>
          </w:tcPr>
          <w:p w14:paraId="0B1879D1" w14:textId="77777777" w:rsidR="00E50131" w:rsidRDefault="00E50131">
            <w:pPr>
              <w:spacing w:before="20" w:after="20"/>
              <w:jc w:val="right"/>
            </w:pPr>
          </w:p>
        </w:tc>
        <w:tc>
          <w:tcPr>
            <w:tcW w:w="1800" w:type="dxa"/>
            <w:tcBorders>
              <w:top w:val="single" w:sz="4" w:space="0" w:color="1B4F72"/>
              <w:left w:val="none" w:sz="0" w:space="0" w:color="FFFFFF"/>
              <w:bottom w:val="single" w:sz="2" w:space="0" w:color="D5D8DC"/>
              <w:right w:val="none" w:sz="0" w:space="0" w:color="FFFFFF"/>
            </w:tcBorders>
            <w:shd w:val="clear" w:color="auto" w:fill="E8F0FE"/>
            <w:tcMar>
              <w:top w:w="50" w:type="dxa"/>
              <w:left w:w="100" w:type="dxa"/>
              <w:bottom w:w="50" w:type="dxa"/>
              <w:right w:w="100" w:type="dxa"/>
            </w:tcMar>
          </w:tcPr>
          <w:p w14:paraId="45060C02" w14:textId="77777777" w:rsidR="00E50131" w:rsidRDefault="00E50131">
            <w:pPr>
              <w:spacing w:before="20" w:after="20"/>
              <w:jc w:val="right"/>
            </w:pPr>
          </w:p>
        </w:tc>
        <w:tc>
          <w:tcPr>
            <w:tcW w:w="2240" w:type="dxa"/>
            <w:tcBorders>
              <w:top w:val="single" w:sz="4" w:space="0" w:color="1B4F72"/>
              <w:left w:val="none" w:sz="0" w:space="0" w:color="FFFFFF"/>
              <w:bottom w:val="single" w:sz="2" w:space="0" w:color="D5D8DC"/>
              <w:right w:val="none" w:sz="0" w:space="0" w:color="FFFFFF"/>
            </w:tcBorders>
            <w:shd w:val="clear" w:color="auto" w:fill="E8F0FE"/>
            <w:tcMar>
              <w:top w:w="50" w:type="dxa"/>
              <w:left w:w="100" w:type="dxa"/>
              <w:bottom w:w="50" w:type="dxa"/>
              <w:right w:w="100" w:type="dxa"/>
            </w:tcMar>
          </w:tcPr>
          <w:p w14:paraId="140794B4" w14:textId="77777777" w:rsidR="00E50131" w:rsidRDefault="00000000">
            <w:pPr>
              <w:spacing w:before="20" w:after="20"/>
              <w:jc w:val="right"/>
            </w:pPr>
            <w:r>
              <w:rPr>
                <w:rFonts w:ascii="Calibri" w:eastAsia="Calibri" w:hAnsi="Calibri" w:cs="Calibri"/>
                <w:b/>
                <w:bCs/>
                <w:color w:val="1B4F72"/>
                <w:sz w:val="18"/>
                <w:szCs w:val="18"/>
              </w:rPr>
              <w:t>$278</w:t>
            </w:r>
          </w:p>
        </w:tc>
      </w:tr>
      <w:tr w:rsidR="00E50131" w14:paraId="34083A4B" w14:textId="77777777">
        <w:tc>
          <w:tcPr>
            <w:tcW w:w="2400" w:type="dxa"/>
            <w:tcBorders>
              <w:top w:val="single" w:sz="4" w:space="0" w:color="1B4F72"/>
              <w:left w:val="none" w:sz="0" w:space="0" w:color="FFFFFF"/>
              <w:bottom w:val="single" w:sz="8" w:space="0" w:color="1B4F72"/>
              <w:right w:val="none" w:sz="0" w:space="0" w:color="FFFFFF"/>
            </w:tcBorders>
            <w:shd w:val="clear" w:color="auto" w:fill="D5F4E6"/>
            <w:tcMar>
              <w:top w:w="50" w:type="dxa"/>
              <w:left w:w="160" w:type="dxa"/>
              <w:bottom w:w="50" w:type="dxa"/>
              <w:right w:w="100" w:type="dxa"/>
            </w:tcMar>
          </w:tcPr>
          <w:p w14:paraId="18DE3744" w14:textId="77777777" w:rsidR="00E50131" w:rsidRDefault="00000000">
            <w:pPr>
              <w:spacing w:before="20" w:after="20"/>
            </w:pPr>
            <w:r>
              <w:rPr>
                <w:rFonts w:ascii="Calibri" w:eastAsia="Calibri" w:hAnsi="Calibri" w:cs="Calibri"/>
                <w:b/>
                <w:bCs/>
                <w:color w:val="1B4F72"/>
                <w:sz w:val="18"/>
                <w:szCs w:val="18"/>
              </w:rPr>
              <w:t>Per Share (w/ Cloud at 20x)</w:t>
            </w:r>
          </w:p>
        </w:tc>
        <w:tc>
          <w:tcPr>
            <w:tcW w:w="2200" w:type="dxa"/>
            <w:tcBorders>
              <w:top w:val="single" w:sz="4" w:space="0" w:color="1B4F72"/>
              <w:left w:val="none" w:sz="0" w:space="0" w:color="FFFFFF"/>
              <w:bottom w:val="single" w:sz="8" w:space="0" w:color="1B4F72"/>
              <w:right w:val="none" w:sz="0" w:space="0" w:color="FFFFFF"/>
            </w:tcBorders>
            <w:shd w:val="clear" w:color="auto" w:fill="D5F4E6"/>
            <w:tcMar>
              <w:top w:w="50" w:type="dxa"/>
              <w:left w:w="100" w:type="dxa"/>
              <w:bottom w:w="50" w:type="dxa"/>
              <w:right w:w="100" w:type="dxa"/>
            </w:tcMar>
          </w:tcPr>
          <w:p w14:paraId="1FFAE182" w14:textId="77777777" w:rsidR="00E50131" w:rsidRDefault="00E50131">
            <w:pPr>
              <w:spacing w:before="20" w:after="20"/>
              <w:jc w:val="right"/>
            </w:pPr>
          </w:p>
        </w:tc>
        <w:tc>
          <w:tcPr>
            <w:tcW w:w="1800" w:type="dxa"/>
            <w:tcBorders>
              <w:top w:val="single" w:sz="4" w:space="0" w:color="1B4F72"/>
              <w:left w:val="none" w:sz="0" w:space="0" w:color="FFFFFF"/>
              <w:bottom w:val="single" w:sz="8" w:space="0" w:color="1B4F72"/>
              <w:right w:val="none" w:sz="0" w:space="0" w:color="FFFFFF"/>
            </w:tcBorders>
            <w:shd w:val="clear" w:color="auto" w:fill="D5F4E6"/>
            <w:tcMar>
              <w:top w:w="50" w:type="dxa"/>
              <w:left w:w="100" w:type="dxa"/>
              <w:bottom w:w="50" w:type="dxa"/>
              <w:right w:w="100" w:type="dxa"/>
            </w:tcMar>
          </w:tcPr>
          <w:p w14:paraId="76A9EC60" w14:textId="77777777" w:rsidR="00E50131" w:rsidRDefault="00E50131">
            <w:pPr>
              <w:spacing w:before="20" w:after="20"/>
              <w:jc w:val="right"/>
            </w:pPr>
          </w:p>
        </w:tc>
        <w:tc>
          <w:tcPr>
            <w:tcW w:w="2240" w:type="dxa"/>
            <w:tcBorders>
              <w:top w:val="single" w:sz="4" w:space="0" w:color="1B4F72"/>
              <w:left w:val="none" w:sz="0" w:space="0" w:color="FFFFFF"/>
              <w:bottom w:val="single" w:sz="8" w:space="0" w:color="1B4F72"/>
              <w:right w:val="none" w:sz="0" w:space="0" w:color="FFFFFF"/>
            </w:tcBorders>
            <w:shd w:val="clear" w:color="auto" w:fill="D5F4E6"/>
            <w:tcMar>
              <w:top w:w="50" w:type="dxa"/>
              <w:left w:w="100" w:type="dxa"/>
              <w:bottom w:w="50" w:type="dxa"/>
              <w:right w:w="100" w:type="dxa"/>
            </w:tcMar>
          </w:tcPr>
          <w:p w14:paraId="6FDE08E5" w14:textId="77777777" w:rsidR="00E50131" w:rsidRDefault="00000000">
            <w:pPr>
              <w:spacing w:before="20" w:after="20"/>
              <w:jc w:val="right"/>
            </w:pPr>
            <w:r>
              <w:rPr>
                <w:rFonts w:ascii="Calibri" w:eastAsia="Calibri" w:hAnsi="Calibri" w:cs="Calibri"/>
                <w:b/>
                <w:bCs/>
                <w:color w:val="27AE60"/>
                <w:sz w:val="18"/>
                <w:szCs w:val="18"/>
              </w:rPr>
              <w:t>$407</w:t>
            </w:r>
          </w:p>
        </w:tc>
      </w:tr>
    </w:tbl>
    <w:p w14:paraId="3AB127E3" w14:textId="77777777" w:rsidR="00E50131" w:rsidRDefault="00E50131">
      <w:pPr>
        <w:spacing w:before="60"/>
      </w:pPr>
    </w:p>
    <w:p w14:paraId="395404BC" w14:textId="77777777" w:rsidR="00E50131" w:rsidRDefault="00000000">
      <w:pPr>
        <w:spacing w:before="80" w:after="80" w:line="312" w:lineRule="auto"/>
      </w:pPr>
      <w:r>
        <w:t>The SOTP range of $278–$407 brackets and corroborates our DCF base case of $390. The variance is driven almost entirely by the multiple assigned to Google Cloud; as Cloud margins converge towards AWS levels and the $240 billion backlog converts, the upper end of this range becomes increasingly defensible.</w:t>
      </w:r>
    </w:p>
    <w:p w14:paraId="67466EE5" w14:textId="77777777" w:rsidR="00E50131" w:rsidRDefault="00000000">
      <w:pPr>
        <w:pBdr>
          <w:bottom w:val="single" w:sz="6" w:space="4" w:color="2874A6"/>
        </w:pBdr>
        <w:spacing w:before="400" w:after="100"/>
      </w:pPr>
      <w:r>
        <w:rPr>
          <w:rFonts w:ascii="Calibri" w:eastAsia="Calibri" w:hAnsi="Calibri" w:cs="Calibri"/>
          <w:b/>
          <w:bCs/>
          <w:color w:val="1B4F72"/>
          <w:spacing w:val="60"/>
          <w:sz w:val="28"/>
          <w:szCs w:val="28"/>
        </w:rPr>
        <w:t>IX. PRICE TARGETS, ENTRY POINTS &amp; POSITION SIZING</w:t>
      </w:r>
    </w:p>
    <w:p w14:paraId="141935CA" w14:textId="77777777" w:rsidR="00E50131" w:rsidRDefault="00000000">
      <w:pPr>
        <w:spacing w:before="280" w:after="80"/>
      </w:pPr>
      <w:r>
        <w:rPr>
          <w:rFonts w:ascii="Calibri" w:eastAsia="Calibri" w:hAnsi="Calibri" w:cs="Calibri"/>
          <w:b/>
          <w:bCs/>
          <w:color w:val="2874A6"/>
          <w:sz w:val="24"/>
          <w:szCs w:val="24"/>
        </w:rPr>
        <w:t>The Solo Strategist Price Targets</w:t>
      </w:r>
    </w:p>
    <w:p w14:paraId="26313DC2" w14:textId="77777777" w:rsidR="00E50131" w:rsidRDefault="00E50131">
      <w:pPr>
        <w:spacing w:before="60"/>
      </w:pPr>
    </w:p>
    <w:tbl>
      <w:tblPr>
        <w:tblW w:w="8640" w:type="dxa"/>
        <w:tblCellMar>
          <w:left w:w="10" w:type="dxa"/>
          <w:right w:w="10" w:type="dxa"/>
        </w:tblCellMar>
        <w:tblLook w:val="04A0" w:firstRow="1" w:lastRow="0" w:firstColumn="1" w:lastColumn="0" w:noHBand="0" w:noVBand="1"/>
      </w:tblPr>
      <w:tblGrid>
        <w:gridCol w:w="2000"/>
        <w:gridCol w:w="2200"/>
        <w:gridCol w:w="2200"/>
        <w:gridCol w:w="2240"/>
      </w:tblGrid>
      <w:tr w:rsidR="00E50131" w14:paraId="43B9ACD0" w14:textId="77777777" w:rsidTr="000B2E1E">
        <w:trPr>
          <w:tblHeader/>
        </w:trPr>
        <w:tc>
          <w:tcPr>
            <w:tcW w:w="2000" w:type="dxa"/>
            <w:shd w:val="clear" w:color="auto" w:fill="1B4F72"/>
            <w:tcMar>
              <w:top w:w="70" w:type="dxa"/>
              <w:left w:w="160" w:type="dxa"/>
              <w:bottom w:w="70" w:type="dxa"/>
              <w:right w:w="100" w:type="dxa"/>
            </w:tcMar>
          </w:tcPr>
          <w:p w14:paraId="4A1AF7DE" w14:textId="77777777" w:rsidR="00E50131" w:rsidRDefault="00000000">
            <w:r>
              <w:rPr>
                <w:rFonts w:ascii="Calibri" w:eastAsia="Calibri" w:hAnsi="Calibri" w:cs="Calibri"/>
                <w:b/>
                <w:bCs/>
                <w:color w:val="FFFFFF"/>
                <w:sz w:val="18"/>
                <w:szCs w:val="18"/>
              </w:rPr>
              <w:lastRenderedPageBreak/>
              <w:t>Scenario</w:t>
            </w:r>
          </w:p>
        </w:tc>
        <w:tc>
          <w:tcPr>
            <w:tcW w:w="2200" w:type="dxa"/>
            <w:shd w:val="clear" w:color="auto" w:fill="1B4F72"/>
            <w:tcMar>
              <w:top w:w="70" w:type="dxa"/>
              <w:left w:w="100" w:type="dxa"/>
              <w:bottom w:w="70" w:type="dxa"/>
              <w:right w:w="100" w:type="dxa"/>
            </w:tcMar>
          </w:tcPr>
          <w:p w14:paraId="07A3E8ED" w14:textId="77777777" w:rsidR="00E50131" w:rsidRDefault="00000000">
            <w:pPr>
              <w:jc w:val="right"/>
            </w:pPr>
            <w:r>
              <w:rPr>
                <w:rFonts w:ascii="Calibri" w:eastAsia="Calibri" w:hAnsi="Calibri" w:cs="Calibri"/>
                <w:b/>
                <w:bCs/>
                <w:color w:val="FFFFFF"/>
                <w:sz w:val="18"/>
                <w:szCs w:val="18"/>
              </w:rPr>
              <w:t>12-Month Target</w:t>
            </w:r>
          </w:p>
        </w:tc>
        <w:tc>
          <w:tcPr>
            <w:tcW w:w="2200" w:type="dxa"/>
            <w:shd w:val="clear" w:color="auto" w:fill="1B4F72"/>
            <w:tcMar>
              <w:top w:w="70" w:type="dxa"/>
              <w:left w:w="100" w:type="dxa"/>
              <w:bottom w:w="70" w:type="dxa"/>
              <w:right w:w="100" w:type="dxa"/>
            </w:tcMar>
          </w:tcPr>
          <w:p w14:paraId="362B8771" w14:textId="77777777" w:rsidR="00E50131" w:rsidRDefault="00000000">
            <w:pPr>
              <w:jc w:val="right"/>
            </w:pPr>
            <w:r>
              <w:rPr>
                <w:rFonts w:ascii="Calibri" w:eastAsia="Calibri" w:hAnsi="Calibri" w:cs="Calibri"/>
                <w:b/>
                <w:bCs/>
                <w:color w:val="FFFFFF"/>
                <w:sz w:val="18"/>
                <w:szCs w:val="18"/>
              </w:rPr>
              <w:t>Intrinsic Value</w:t>
            </w:r>
          </w:p>
        </w:tc>
        <w:tc>
          <w:tcPr>
            <w:tcW w:w="2240" w:type="dxa"/>
            <w:shd w:val="clear" w:color="auto" w:fill="1B4F72"/>
            <w:tcMar>
              <w:top w:w="70" w:type="dxa"/>
              <w:left w:w="100" w:type="dxa"/>
              <w:bottom w:w="70" w:type="dxa"/>
              <w:right w:w="100" w:type="dxa"/>
            </w:tcMar>
          </w:tcPr>
          <w:p w14:paraId="3EF7CE7F" w14:textId="77777777" w:rsidR="00E50131" w:rsidRDefault="00000000">
            <w:pPr>
              <w:jc w:val="right"/>
            </w:pPr>
            <w:r>
              <w:rPr>
                <w:rFonts w:ascii="Calibri" w:eastAsia="Calibri" w:hAnsi="Calibri" w:cs="Calibri"/>
                <w:b/>
                <w:bCs/>
                <w:color w:val="FFFFFF"/>
                <w:sz w:val="18"/>
                <w:szCs w:val="18"/>
              </w:rPr>
              <w:t>Implied Return</w:t>
            </w:r>
          </w:p>
        </w:tc>
      </w:tr>
      <w:tr w:rsidR="00E50131" w14:paraId="55CDEE64" w14:textId="77777777" w:rsidTr="000B2E1E">
        <w:tc>
          <w:tcPr>
            <w:tcW w:w="2000" w:type="dxa"/>
            <w:shd w:val="clear" w:color="auto" w:fill="F7F9FB"/>
            <w:tcMar>
              <w:top w:w="50" w:type="dxa"/>
              <w:left w:w="160" w:type="dxa"/>
              <w:bottom w:w="50" w:type="dxa"/>
              <w:right w:w="100" w:type="dxa"/>
            </w:tcMar>
          </w:tcPr>
          <w:p w14:paraId="452776C3" w14:textId="77777777" w:rsidR="00E50131" w:rsidRDefault="00000000">
            <w:pPr>
              <w:spacing w:before="20" w:after="20"/>
            </w:pPr>
            <w:r>
              <w:rPr>
                <w:rFonts w:ascii="Calibri" w:eastAsia="Calibri" w:hAnsi="Calibri" w:cs="Calibri"/>
                <w:b/>
                <w:bCs/>
                <w:color w:val="2C3E50"/>
                <w:sz w:val="18"/>
                <w:szCs w:val="18"/>
              </w:rPr>
              <w:t>Bear Case</w:t>
            </w:r>
          </w:p>
        </w:tc>
        <w:tc>
          <w:tcPr>
            <w:tcW w:w="2200" w:type="dxa"/>
            <w:shd w:val="clear" w:color="auto" w:fill="F7F9FB"/>
            <w:tcMar>
              <w:top w:w="50" w:type="dxa"/>
              <w:left w:w="100" w:type="dxa"/>
              <w:bottom w:w="50" w:type="dxa"/>
              <w:right w:w="100" w:type="dxa"/>
            </w:tcMar>
          </w:tcPr>
          <w:p w14:paraId="1603F075" w14:textId="77777777" w:rsidR="00E50131" w:rsidRDefault="00000000">
            <w:pPr>
              <w:spacing w:before="20" w:after="20"/>
              <w:jc w:val="right"/>
            </w:pPr>
            <w:r>
              <w:rPr>
                <w:rFonts w:ascii="Calibri" w:eastAsia="Calibri" w:hAnsi="Calibri" w:cs="Calibri"/>
                <w:b/>
                <w:bCs/>
                <w:color w:val="2C3E50"/>
                <w:sz w:val="18"/>
                <w:szCs w:val="18"/>
              </w:rPr>
              <w:t>$285</w:t>
            </w:r>
          </w:p>
        </w:tc>
        <w:tc>
          <w:tcPr>
            <w:tcW w:w="2200" w:type="dxa"/>
            <w:shd w:val="clear" w:color="auto" w:fill="F7F9FB"/>
            <w:tcMar>
              <w:top w:w="50" w:type="dxa"/>
              <w:left w:w="100" w:type="dxa"/>
              <w:bottom w:w="50" w:type="dxa"/>
              <w:right w:w="100" w:type="dxa"/>
            </w:tcMar>
          </w:tcPr>
          <w:p w14:paraId="302C7546" w14:textId="77777777" w:rsidR="00E50131" w:rsidRDefault="00000000">
            <w:pPr>
              <w:spacing w:before="20" w:after="20"/>
              <w:jc w:val="right"/>
            </w:pPr>
            <w:r>
              <w:rPr>
                <w:rFonts w:ascii="Calibri" w:eastAsia="Calibri" w:hAnsi="Calibri" w:cs="Calibri"/>
                <w:b/>
                <w:bCs/>
                <w:color w:val="2C3E50"/>
                <w:sz w:val="18"/>
                <w:szCs w:val="18"/>
              </w:rPr>
              <w:t>$330</w:t>
            </w:r>
          </w:p>
        </w:tc>
        <w:tc>
          <w:tcPr>
            <w:tcW w:w="2240" w:type="dxa"/>
            <w:shd w:val="clear" w:color="auto" w:fill="F7F9FB"/>
            <w:tcMar>
              <w:top w:w="50" w:type="dxa"/>
              <w:left w:w="100" w:type="dxa"/>
              <w:bottom w:w="50" w:type="dxa"/>
              <w:right w:w="100" w:type="dxa"/>
            </w:tcMar>
          </w:tcPr>
          <w:p w14:paraId="349BBDD2" w14:textId="77777777" w:rsidR="00E50131" w:rsidRDefault="00000000">
            <w:pPr>
              <w:spacing w:before="20" w:after="20"/>
              <w:jc w:val="right"/>
            </w:pPr>
            <w:r>
              <w:rPr>
                <w:rFonts w:ascii="Calibri" w:eastAsia="Calibri" w:hAnsi="Calibri" w:cs="Calibri"/>
                <w:b/>
                <w:bCs/>
                <w:color w:val="2C3E50"/>
                <w:sz w:val="18"/>
                <w:szCs w:val="18"/>
              </w:rPr>
              <w:t>-7% from current</w:t>
            </w:r>
          </w:p>
        </w:tc>
      </w:tr>
      <w:tr w:rsidR="00E50131" w14:paraId="0EFF4077" w14:textId="77777777" w:rsidTr="000B2E1E">
        <w:tc>
          <w:tcPr>
            <w:tcW w:w="2000" w:type="dxa"/>
            <w:shd w:val="clear" w:color="auto" w:fill="FFFFFF"/>
            <w:tcMar>
              <w:top w:w="50" w:type="dxa"/>
              <w:left w:w="160" w:type="dxa"/>
              <w:bottom w:w="50" w:type="dxa"/>
              <w:right w:w="100" w:type="dxa"/>
            </w:tcMar>
          </w:tcPr>
          <w:p w14:paraId="583F48A5" w14:textId="77777777" w:rsidR="00E50131" w:rsidRDefault="00000000">
            <w:pPr>
              <w:spacing w:before="20" w:after="20"/>
            </w:pPr>
            <w:r>
              <w:rPr>
                <w:rFonts w:ascii="Calibri" w:eastAsia="Calibri" w:hAnsi="Calibri" w:cs="Calibri"/>
                <w:b/>
                <w:bCs/>
                <w:color w:val="2C3E50"/>
                <w:sz w:val="18"/>
                <w:szCs w:val="18"/>
              </w:rPr>
              <w:t>Base Case</w:t>
            </w:r>
          </w:p>
        </w:tc>
        <w:tc>
          <w:tcPr>
            <w:tcW w:w="2200" w:type="dxa"/>
            <w:shd w:val="clear" w:color="auto" w:fill="FFFFFF"/>
            <w:tcMar>
              <w:top w:w="50" w:type="dxa"/>
              <w:left w:w="100" w:type="dxa"/>
              <w:bottom w:w="50" w:type="dxa"/>
              <w:right w:w="100" w:type="dxa"/>
            </w:tcMar>
          </w:tcPr>
          <w:p w14:paraId="0ED2C560" w14:textId="77777777" w:rsidR="00E50131" w:rsidRDefault="00000000">
            <w:pPr>
              <w:spacing w:before="20" w:after="20"/>
              <w:jc w:val="right"/>
            </w:pPr>
            <w:r>
              <w:rPr>
                <w:rFonts w:ascii="Calibri" w:eastAsia="Calibri" w:hAnsi="Calibri" w:cs="Calibri"/>
                <w:b/>
                <w:bCs/>
                <w:color w:val="2C3E50"/>
                <w:sz w:val="18"/>
                <w:szCs w:val="18"/>
              </w:rPr>
              <w:t>$370</w:t>
            </w:r>
          </w:p>
        </w:tc>
        <w:tc>
          <w:tcPr>
            <w:tcW w:w="2200" w:type="dxa"/>
            <w:shd w:val="clear" w:color="auto" w:fill="FFFFFF"/>
            <w:tcMar>
              <w:top w:w="50" w:type="dxa"/>
              <w:left w:w="100" w:type="dxa"/>
              <w:bottom w:w="50" w:type="dxa"/>
              <w:right w:w="100" w:type="dxa"/>
            </w:tcMar>
          </w:tcPr>
          <w:p w14:paraId="46EAA8C6" w14:textId="77777777" w:rsidR="00E50131" w:rsidRDefault="00000000">
            <w:pPr>
              <w:spacing w:before="20" w:after="20"/>
              <w:jc w:val="right"/>
            </w:pPr>
            <w:r>
              <w:rPr>
                <w:rFonts w:ascii="Calibri" w:eastAsia="Calibri" w:hAnsi="Calibri" w:cs="Calibri"/>
                <w:b/>
                <w:bCs/>
                <w:color w:val="27AE60"/>
                <w:sz w:val="18"/>
                <w:szCs w:val="18"/>
              </w:rPr>
              <w:t>$390</w:t>
            </w:r>
          </w:p>
        </w:tc>
        <w:tc>
          <w:tcPr>
            <w:tcW w:w="2240" w:type="dxa"/>
            <w:shd w:val="clear" w:color="auto" w:fill="FFFFFF"/>
            <w:tcMar>
              <w:top w:w="50" w:type="dxa"/>
              <w:left w:w="100" w:type="dxa"/>
              <w:bottom w:w="50" w:type="dxa"/>
              <w:right w:w="100" w:type="dxa"/>
            </w:tcMar>
          </w:tcPr>
          <w:p w14:paraId="335996E9" w14:textId="77777777" w:rsidR="00E50131" w:rsidRDefault="00000000">
            <w:pPr>
              <w:spacing w:before="20" w:after="20"/>
              <w:jc w:val="right"/>
            </w:pPr>
            <w:r>
              <w:rPr>
                <w:rFonts w:ascii="Calibri" w:eastAsia="Calibri" w:hAnsi="Calibri" w:cs="Calibri"/>
                <w:b/>
                <w:bCs/>
                <w:color w:val="2C3E50"/>
                <w:sz w:val="18"/>
                <w:szCs w:val="18"/>
              </w:rPr>
              <w:t>+21% from current</w:t>
            </w:r>
          </w:p>
        </w:tc>
      </w:tr>
      <w:tr w:rsidR="00E50131" w14:paraId="3E016333" w14:textId="77777777" w:rsidTr="000B2E1E">
        <w:tc>
          <w:tcPr>
            <w:tcW w:w="2000" w:type="dxa"/>
            <w:shd w:val="clear" w:color="auto" w:fill="F7F9FB"/>
            <w:tcMar>
              <w:top w:w="50" w:type="dxa"/>
              <w:left w:w="160" w:type="dxa"/>
              <w:bottom w:w="50" w:type="dxa"/>
              <w:right w:w="100" w:type="dxa"/>
            </w:tcMar>
          </w:tcPr>
          <w:p w14:paraId="7158C435" w14:textId="77777777" w:rsidR="00E50131" w:rsidRDefault="00000000">
            <w:pPr>
              <w:spacing w:before="20" w:after="20"/>
            </w:pPr>
            <w:r>
              <w:rPr>
                <w:rFonts w:ascii="Calibri" w:eastAsia="Calibri" w:hAnsi="Calibri" w:cs="Calibri"/>
                <w:b/>
                <w:bCs/>
                <w:color w:val="2C3E50"/>
                <w:sz w:val="18"/>
                <w:szCs w:val="18"/>
              </w:rPr>
              <w:t>Bull Case</w:t>
            </w:r>
          </w:p>
        </w:tc>
        <w:tc>
          <w:tcPr>
            <w:tcW w:w="2200" w:type="dxa"/>
            <w:shd w:val="clear" w:color="auto" w:fill="F7F9FB"/>
            <w:tcMar>
              <w:top w:w="50" w:type="dxa"/>
              <w:left w:w="100" w:type="dxa"/>
              <w:bottom w:w="50" w:type="dxa"/>
              <w:right w:w="100" w:type="dxa"/>
            </w:tcMar>
          </w:tcPr>
          <w:p w14:paraId="756C212F" w14:textId="77777777" w:rsidR="00E50131" w:rsidRDefault="00000000">
            <w:pPr>
              <w:spacing w:before="20" w:after="20"/>
              <w:jc w:val="right"/>
            </w:pPr>
            <w:r>
              <w:rPr>
                <w:rFonts w:ascii="Calibri" w:eastAsia="Calibri" w:hAnsi="Calibri" w:cs="Calibri"/>
                <w:b/>
                <w:bCs/>
                <w:color w:val="2C3E50"/>
                <w:sz w:val="18"/>
                <w:szCs w:val="18"/>
              </w:rPr>
              <w:t>$430</w:t>
            </w:r>
          </w:p>
        </w:tc>
        <w:tc>
          <w:tcPr>
            <w:tcW w:w="2200" w:type="dxa"/>
            <w:shd w:val="clear" w:color="auto" w:fill="F7F9FB"/>
            <w:tcMar>
              <w:top w:w="50" w:type="dxa"/>
              <w:left w:w="100" w:type="dxa"/>
              <w:bottom w:w="50" w:type="dxa"/>
              <w:right w:w="100" w:type="dxa"/>
            </w:tcMar>
          </w:tcPr>
          <w:p w14:paraId="5041F28C" w14:textId="77777777" w:rsidR="00E50131" w:rsidRDefault="00000000">
            <w:pPr>
              <w:spacing w:before="20" w:after="20"/>
              <w:jc w:val="right"/>
            </w:pPr>
            <w:r>
              <w:rPr>
                <w:rFonts w:ascii="Calibri" w:eastAsia="Calibri" w:hAnsi="Calibri" w:cs="Calibri"/>
                <w:b/>
                <w:bCs/>
                <w:color w:val="27AE60"/>
                <w:sz w:val="18"/>
                <w:szCs w:val="18"/>
              </w:rPr>
              <w:t>$470</w:t>
            </w:r>
          </w:p>
        </w:tc>
        <w:tc>
          <w:tcPr>
            <w:tcW w:w="2240" w:type="dxa"/>
            <w:shd w:val="clear" w:color="auto" w:fill="F7F9FB"/>
            <w:tcMar>
              <w:top w:w="50" w:type="dxa"/>
              <w:left w:w="100" w:type="dxa"/>
              <w:bottom w:w="50" w:type="dxa"/>
              <w:right w:w="100" w:type="dxa"/>
            </w:tcMar>
          </w:tcPr>
          <w:p w14:paraId="0D02C30C" w14:textId="77777777" w:rsidR="00E50131" w:rsidRDefault="00000000">
            <w:pPr>
              <w:spacing w:before="20" w:after="20"/>
              <w:jc w:val="right"/>
            </w:pPr>
            <w:r>
              <w:rPr>
                <w:rFonts w:ascii="Calibri" w:eastAsia="Calibri" w:hAnsi="Calibri" w:cs="Calibri"/>
                <w:b/>
                <w:bCs/>
                <w:color w:val="2C3E50"/>
                <w:sz w:val="18"/>
                <w:szCs w:val="18"/>
              </w:rPr>
              <w:t>+41% from current</w:t>
            </w:r>
          </w:p>
        </w:tc>
      </w:tr>
    </w:tbl>
    <w:p w14:paraId="56476C13" w14:textId="77777777" w:rsidR="00E50131" w:rsidRDefault="00E50131">
      <w:pPr>
        <w:spacing w:before="80"/>
      </w:pPr>
    </w:p>
    <w:p w14:paraId="0D09F8DC" w14:textId="77777777" w:rsidR="00E50131" w:rsidRDefault="00000000">
      <w:pPr>
        <w:spacing w:before="80" w:after="80" w:line="312" w:lineRule="auto"/>
      </w:pPr>
      <w:r>
        <w:rPr>
          <w:b/>
          <w:bCs/>
        </w:rPr>
        <w:t xml:space="preserve">Bear Case ($285 / 12-month): </w:t>
      </w:r>
      <w:r>
        <w:t>Assumes antitrust appeal introduces new structural risk, Cloud growth decelerates to 25–30%, and AI monetisation stalls. Even here, the core advertising business alone supports a floor valuation near $280 on a 20x forward earnings multiple.</w:t>
      </w:r>
    </w:p>
    <w:p w14:paraId="529CCF3C" w14:textId="77777777" w:rsidR="00E50131" w:rsidRDefault="00000000">
      <w:pPr>
        <w:spacing w:before="80" w:after="80" w:line="312" w:lineRule="auto"/>
      </w:pPr>
      <w:r>
        <w:rPr>
          <w:b/>
          <w:bCs/>
        </w:rPr>
        <w:t xml:space="preserve">Base Case ($370 / 12-month): </w:t>
      </w:r>
      <w:r>
        <w:t xml:space="preserve">Cloud continues at 35%+ growth, Gemini monetisation gains traction, </w:t>
      </w:r>
      <w:proofErr w:type="spellStart"/>
      <w:r>
        <w:t>CapEx</w:t>
      </w:r>
      <w:proofErr w:type="spellEnd"/>
      <w:r>
        <w:t xml:space="preserve"> guidance for 2027 moderates (signalling the inflection point), and Waymo expansion proceeds on schedule. This aligns with the median Wall Street analyst target of $370 and our DCF-derived value of $390.</w:t>
      </w:r>
    </w:p>
    <w:p w14:paraId="64C71D4B" w14:textId="77777777" w:rsidR="00E50131" w:rsidRDefault="00000000">
      <w:pPr>
        <w:spacing w:before="80" w:after="80" w:line="312" w:lineRule="auto"/>
      </w:pPr>
      <w:r>
        <w:rPr>
          <w:b/>
          <w:bCs/>
        </w:rPr>
        <w:t xml:space="preserve">Bull Case ($430 / 12-month): </w:t>
      </w:r>
      <w:r>
        <w:t>Cloud accelerates further on AI demand, Gemini captures significant share from OpenAI, Waymo announces an IPO timeline or additional external funding at $150B+ valuation, and the ad-tech antitrust case resolves favourably. The highest analyst target on Wall Street stands at $443, corroborating this scenario.</w:t>
      </w:r>
    </w:p>
    <w:p w14:paraId="45BBA0AF" w14:textId="77777777" w:rsidR="00E50131" w:rsidRDefault="00000000">
      <w:pPr>
        <w:spacing w:before="280" w:after="80"/>
      </w:pPr>
      <w:r>
        <w:rPr>
          <w:rFonts w:ascii="Calibri" w:eastAsia="Calibri" w:hAnsi="Calibri" w:cs="Calibri"/>
          <w:b/>
          <w:bCs/>
          <w:color w:val="2874A6"/>
          <w:sz w:val="24"/>
          <w:szCs w:val="24"/>
        </w:rPr>
        <w:t>Optimal Entry Points</w:t>
      </w:r>
    </w:p>
    <w:p w14:paraId="4A103CA1" w14:textId="77777777" w:rsidR="00E50131" w:rsidRDefault="00000000">
      <w:pPr>
        <w:spacing w:before="80" w:after="80" w:line="312" w:lineRule="auto"/>
      </w:pPr>
      <w:r>
        <w:t>For the disciplined value allocator, we identify three tiers of entry based on our DCF-derived margin of safety:</w:t>
      </w:r>
    </w:p>
    <w:p w14:paraId="6BF2CB45" w14:textId="77777777" w:rsidR="00E50131" w:rsidRDefault="00E50131">
      <w:pPr>
        <w:spacing w:before="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240"/>
      </w:tblGrid>
      <w:tr w:rsidR="00E50131" w14:paraId="62388098" w14:textId="77777777" w:rsidTr="000B2E1E">
        <w:trPr>
          <w:tblHeader/>
        </w:trPr>
        <w:tc>
          <w:tcPr>
            <w:tcW w:w="2400" w:type="dxa"/>
            <w:tcBorders>
              <w:top w:val="single" w:sz="8" w:space="0" w:color="1B4F72"/>
              <w:left w:val="none" w:sz="0" w:space="0" w:color="FFFFFF"/>
              <w:bottom w:val="nil"/>
              <w:right w:val="none" w:sz="0" w:space="0" w:color="FFFFFF"/>
            </w:tcBorders>
            <w:shd w:val="clear" w:color="auto" w:fill="1B4F72"/>
            <w:tcMar>
              <w:top w:w="70" w:type="dxa"/>
              <w:left w:w="160" w:type="dxa"/>
              <w:bottom w:w="70" w:type="dxa"/>
              <w:right w:w="100" w:type="dxa"/>
            </w:tcMar>
          </w:tcPr>
          <w:p w14:paraId="5C6D0DA7" w14:textId="77777777" w:rsidR="00E50131" w:rsidRDefault="00000000">
            <w:r>
              <w:rPr>
                <w:rFonts w:ascii="Calibri" w:eastAsia="Calibri" w:hAnsi="Calibri" w:cs="Calibri"/>
                <w:b/>
                <w:bCs/>
                <w:color w:val="FFFFFF"/>
                <w:sz w:val="18"/>
                <w:szCs w:val="18"/>
              </w:rPr>
              <w:t>Entry Tier</w:t>
            </w:r>
          </w:p>
        </w:tc>
        <w:tc>
          <w:tcPr>
            <w:tcW w:w="2000" w:type="dxa"/>
            <w:tcBorders>
              <w:top w:val="single" w:sz="8" w:space="0" w:color="1B4F72"/>
              <w:left w:val="none" w:sz="0" w:space="0" w:color="FFFFFF"/>
              <w:bottom w:val="nil"/>
              <w:right w:val="none" w:sz="0" w:space="0" w:color="FFFFFF"/>
            </w:tcBorders>
            <w:shd w:val="clear" w:color="auto" w:fill="1B4F72"/>
            <w:tcMar>
              <w:top w:w="70" w:type="dxa"/>
              <w:left w:w="100" w:type="dxa"/>
              <w:bottom w:w="70" w:type="dxa"/>
              <w:right w:w="100" w:type="dxa"/>
            </w:tcMar>
          </w:tcPr>
          <w:p w14:paraId="5EB1959C" w14:textId="77777777" w:rsidR="00E50131" w:rsidRDefault="00000000">
            <w:pPr>
              <w:jc w:val="right"/>
            </w:pPr>
            <w:r>
              <w:rPr>
                <w:rFonts w:ascii="Calibri" w:eastAsia="Calibri" w:hAnsi="Calibri" w:cs="Calibri"/>
                <w:b/>
                <w:bCs/>
                <w:color w:val="FFFFFF"/>
                <w:sz w:val="18"/>
                <w:szCs w:val="18"/>
              </w:rPr>
              <w:t>Price Range</w:t>
            </w:r>
          </w:p>
        </w:tc>
        <w:tc>
          <w:tcPr>
            <w:tcW w:w="2000" w:type="dxa"/>
            <w:tcBorders>
              <w:top w:val="single" w:sz="8" w:space="0" w:color="1B4F72"/>
              <w:left w:val="none" w:sz="0" w:space="0" w:color="FFFFFF"/>
              <w:bottom w:val="nil"/>
              <w:right w:val="none" w:sz="0" w:space="0" w:color="FFFFFF"/>
            </w:tcBorders>
            <w:shd w:val="clear" w:color="auto" w:fill="1B4F72"/>
            <w:tcMar>
              <w:top w:w="70" w:type="dxa"/>
              <w:left w:w="100" w:type="dxa"/>
              <w:bottom w:w="70" w:type="dxa"/>
              <w:right w:w="100" w:type="dxa"/>
            </w:tcMar>
          </w:tcPr>
          <w:p w14:paraId="5DC5689F" w14:textId="77777777" w:rsidR="00E50131" w:rsidRDefault="00000000">
            <w:pPr>
              <w:jc w:val="right"/>
            </w:pPr>
            <w:r>
              <w:rPr>
                <w:rFonts w:ascii="Calibri" w:eastAsia="Calibri" w:hAnsi="Calibri" w:cs="Calibri"/>
                <w:b/>
                <w:bCs/>
                <w:color w:val="FFFFFF"/>
                <w:sz w:val="18"/>
                <w:szCs w:val="18"/>
              </w:rPr>
              <w:t>Margin of Safety</w:t>
            </w:r>
          </w:p>
        </w:tc>
        <w:tc>
          <w:tcPr>
            <w:tcW w:w="2240" w:type="dxa"/>
            <w:tcBorders>
              <w:top w:val="single" w:sz="8" w:space="0" w:color="1B4F72"/>
              <w:left w:val="none" w:sz="0" w:space="0" w:color="FFFFFF"/>
              <w:bottom w:val="nil"/>
              <w:right w:val="none" w:sz="0" w:space="0" w:color="FFFFFF"/>
            </w:tcBorders>
            <w:shd w:val="clear" w:color="auto" w:fill="1B4F72"/>
            <w:tcMar>
              <w:top w:w="70" w:type="dxa"/>
              <w:left w:w="100" w:type="dxa"/>
              <w:bottom w:w="70" w:type="dxa"/>
              <w:right w:w="100" w:type="dxa"/>
            </w:tcMar>
          </w:tcPr>
          <w:p w14:paraId="794B8BA0" w14:textId="77777777" w:rsidR="00E50131" w:rsidRDefault="00000000">
            <w:pPr>
              <w:jc w:val="right"/>
            </w:pPr>
            <w:r>
              <w:rPr>
                <w:rFonts w:ascii="Calibri" w:eastAsia="Calibri" w:hAnsi="Calibri" w:cs="Calibri"/>
                <w:b/>
                <w:bCs/>
                <w:color w:val="FFFFFF"/>
                <w:sz w:val="18"/>
                <w:szCs w:val="18"/>
              </w:rPr>
              <w:t>Action</w:t>
            </w:r>
          </w:p>
        </w:tc>
      </w:tr>
      <w:tr w:rsidR="00E50131" w14:paraId="7E9551B1" w14:textId="77777777" w:rsidTr="000B2E1E">
        <w:tc>
          <w:tcPr>
            <w:tcW w:w="2400" w:type="dxa"/>
            <w:tcBorders>
              <w:top w:val="nil"/>
              <w:left w:val="nil"/>
              <w:bottom w:val="single" w:sz="2" w:space="0" w:color="D5D8DC"/>
              <w:right w:val="nil"/>
            </w:tcBorders>
            <w:shd w:val="clear" w:color="auto" w:fill="F7F9FB"/>
            <w:tcMar>
              <w:top w:w="50" w:type="dxa"/>
              <w:left w:w="160" w:type="dxa"/>
              <w:bottom w:w="50" w:type="dxa"/>
              <w:right w:w="100" w:type="dxa"/>
            </w:tcMar>
          </w:tcPr>
          <w:p w14:paraId="2CAA30A5" w14:textId="77777777" w:rsidR="00E50131" w:rsidRDefault="00000000">
            <w:pPr>
              <w:spacing w:before="20" w:after="20"/>
            </w:pPr>
            <w:r>
              <w:rPr>
                <w:rFonts w:ascii="Calibri" w:eastAsia="Calibri" w:hAnsi="Calibri" w:cs="Calibri"/>
                <w:b/>
                <w:bCs/>
                <w:color w:val="2C3E50"/>
                <w:sz w:val="18"/>
                <w:szCs w:val="18"/>
              </w:rPr>
              <w:t>Tier 1: Accumulate</w:t>
            </w:r>
          </w:p>
        </w:tc>
        <w:tc>
          <w:tcPr>
            <w:tcW w:w="2000" w:type="dxa"/>
            <w:tcBorders>
              <w:top w:val="nil"/>
              <w:left w:val="nil"/>
              <w:bottom w:val="single" w:sz="2" w:space="0" w:color="D5D8DC"/>
              <w:right w:val="nil"/>
            </w:tcBorders>
            <w:shd w:val="clear" w:color="auto" w:fill="F7F9FB"/>
            <w:tcMar>
              <w:top w:w="50" w:type="dxa"/>
              <w:left w:w="100" w:type="dxa"/>
              <w:bottom w:w="50" w:type="dxa"/>
              <w:right w:w="100" w:type="dxa"/>
            </w:tcMar>
          </w:tcPr>
          <w:p w14:paraId="1818F339" w14:textId="77777777" w:rsidR="00E50131" w:rsidRDefault="00000000">
            <w:pPr>
              <w:spacing w:before="20" w:after="20"/>
              <w:jc w:val="right"/>
            </w:pPr>
            <w:r>
              <w:rPr>
                <w:rFonts w:ascii="Calibri" w:eastAsia="Calibri" w:hAnsi="Calibri" w:cs="Calibri"/>
                <w:b/>
                <w:bCs/>
                <w:color w:val="2C3E50"/>
                <w:sz w:val="18"/>
                <w:szCs w:val="18"/>
              </w:rPr>
              <w:t>$290–$310</w:t>
            </w:r>
          </w:p>
        </w:tc>
        <w:tc>
          <w:tcPr>
            <w:tcW w:w="2000" w:type="dxa"/>
            <w:tcBorders>
              <w:top w:val="nil"/>
              <w:left w:val="nil"/>
              <w:bottom w:val="single" w:sz="2" w:space="0" w:color="D5D8DC"/>
              <w:right w:val="nil"/>
            </w:tcBorders>
            <w:shd w:val="clear" w:color="auto" w:fill="F7F9FB"/>
            <w:tcMar>
              <w:top w:w="50" w:type="dxa"/>
              <w:left w:w="100" w:type="dxa"/>
              <w:bottom w:w="50" w:type="dxa"/>
              <w:right w:w="100" w:type="dxa"/>
            </w:tcMar>
          </w:tcPr>
          <w:p w14:paraId="10379DEA" w14:textId="77777777" w:rsidR="00E50131" w:rsidRDefault="00000000">
            <w:pPr>
              <w:spacing w:before="20" w:after="20"/>
              <w:jc w:val="right"/>
            </w:pPr>
            <w:r>
              <w:rPr>
                <w:rFonts w:ascii="Calibri" w:eastAsia="Calibri" w:hAnsi="Calibri" w:cs="Calibri"/>
                <w:b/>
                <w:bCs/>
                <w:color w:val="2C3E50"/>
                <w:sz w:val="18"/>
                <w:szCs w:val="18"/>
              </w:rPr>
              <w:t>20–26%</w:t>
            </w:r>
          </w:p>
        </w:tc>
        <w:tc>
          <w:tcPr>
            <w:tcW w:w="2240" w:type="dxa"/>
            <w:tcBorders>
              <w:top w:val="nil"/>
              <w:left w:val="nil"/>
              <w:bottom w:val="single" w:sz="2" w:space="0" w:color="D5D8DC"/>
              <w:right w:val="nil"/>
            </w:tcBorders>
            <w:shd w:val="clear" w:color="auto" w:fill="F7F9FB"/>
            <w:tcMar>
              <w:top w:w="50" w:type="dxa"/>
              <w:left w:w="100" w:type="dxa"/>
              <w:bottom w:w="50" w:type="dxa"/>
              <w:right w:w="100" w:type="dxa"/>
            </w:tcMar>
          </w:tcPr>
          <w:p w14:paraId="40B1C312" w14:textId="77777777" w:rsidR="00E50131" w:rsidRDefault="00000000">
            <w:pPr>
              <w:spacing w:before="20" w:after="20"/>
              <w:jc w:val="right"/>
            </w:pPr>
            <w:r>
              <w:rPr>
                <w:rFonts w:ascii="Calibri" w:eastAsia="Calibri" w:hAnsi="Calibri" w:cs="Calibri"/>
                <w:b/>
                <w:bCs/>
                <w:color w:val="2C3E50"/>
                <w:sz w:val="18"/>
                <w:szCs w:val="18"/>
              </w:rPr>
              <w:t>Begin building core position</w:t>
            </w:r>
          </w:p>
        </w:tc>
      </w:tr>
      <w:tr w:rsidR="00E50131" w14:paraId="314C83F6" w14:textId="77777777" w:rsidTr="000B2E1E">
        <w:tc>
          <w:tcPr>
            <w:tcW w:w="2400" w:type="dxa"/>
            <w:tcBorders>
              <w:top w:val="single" w:sz="2" w:space="0" w:color="D5D8DC"/>
              <w:left w:val="nil"/>
              <w:bottom w:val="single" w:sz="2" w:space="0" w:color="D5D8DC"/>
              <w:right w:val="nil"/>
            </w:tcBorders>
            <w:shd w:val="clear" w:color="auto" w:fill="D5F4E6"/>
            <w:tcMar>
              <w:top w:w="50" w:type="dxa"/>
              <w:left w:w="160" w:type="dxa"/>
              <w:bottom w:w="50" w:type="dxa"/>
              <w:right w:w="100" w:type="dxa"/>
            </w:tcMar>
          </w:tcPr>
          <w:p w14:paraId="416BF06E" w14:textId="77777777" w:rsidR="00E50131" w:rsidRDefault="00000000">
            <w:pPr>
              <w:spacing w:before="20" w:after="20"/>
            </w:pPr>
            <w:r>
              <w:rPr>
                <w:rFonts w:ascii="Calibri" w:eastAsia="Calibri" w:hAnsi="Calibri" w:cs="Calibri"/>
                <w:b/>
                <w:bCs/>
                <w:color w:val="2C3E50"/>
                <w:sz w:val="18"/>
                <w:szCs w:val="18"/>
              </w:rPr>
              <w:t>Tier 2: Strong Buy</w:t>
            </w:r>
          </w:p>
        </w:tc>
        <w:tc>
          <w:tcPr>
            <w:tcW w:w="2000" w:type="dxa"/>
            <w:tcBorders>
              <w:top w:val="single" w:sz="2" w:space="0" w:color="D5D8DC"/>
              <w:left w:val="nil"/>
              <w:bottom w:val="single" w:sz="2" w:space="0" w:color="D5D8DC"/>
              <w:right w:val="nil"/>
            </w:tcBorders>
            <w:shd w:val="clear" w:color="auto" w:fill="D5F4E6"/>
            <w:tcMar>
              <w:top w:w="50" w:type="dxa"/>
              <w:left w:w="100" w:type="dxa"/>
              <w:bottom w:w="50" w:type="dxa"/>
              <w:right w:w="100" w:type="dxa"/>
            </w:tcMar>
          </w:tcPr>
          <w:p w14:paraId="64F392D6" w14:textId="77777777" w:rsidR="00E50131" w:rsidRDefault="00000000">
            <w:pPr>
              <w:spacing w:before="20" w:after="20"/>
              <w:jc w:val="right"/>
            </w:pPr>
            <w:r>
              <w:rPr>
                <w:rFonts w:ascii="Calibri" w:eastAsia="Calibri" w:hAnsi="Calibri" w:cs="Calibri"/>
                <w:color w:val="2C3E50"/>
                <w:sz w:val="18"/>
                <w:szCs w:val="18"/>
              </w:rPr>
              <w:t>$260–$290</w:t>
            </w:r>
          </w:p>
        </w:tc>
        <w:tc>
          <w:tcPr>
            <w:tcW w:w="2000" w:type="dxa"/>
            <w:tcBorders>
              <w:top w:val="single" w:sz="2" w:space="0" w:color="D5D8DC"/>
              <w:left w:val="nil"/>
              <w:bottom w:val="single" w:sz="2" w:space="0" w:color="D5D8DC"/>
              <w:right w:val="nil"/>
            </w:tcBorders>
            <w:shd w:val="clear" w:color="auto" w:fill="D5F4E6"/>
            <w:tcMar>
              <w:top w:w="50" w:type="dxa"/>
              <w:left w:w="100" w:type="dxa"/>
              <w:bottom w:w="50" w:type="dxa"/>
              <w:right w:w="100" w:type="dxa"/>
            </w:tcMar>
          </w:tcPr>
          <w:p w14:paraId="6F5504A4" w14:textId="77777777" w:rsidR="00E50131" w:rsidRDefault="00000000">
            <w:pPr>
              <w:spacing w:before="20" w:after="20"/>
              <w:jc w:val="right"/>
            </w:pPr>
            <w:r>
              <w:rPr>
                <w:rFonts w:ascii="Calibri" w:eastAsia="Calibri" w:hAnsi="Calibri" w:cs="Calibri"/>
                <w:color w:val="2C3E50"/>
                <w:sz w:val="18"/>
                <w:szCs w:val="18"/>
              </w:rPr>
              <w:t>26–33%</w:t>
            </w:r>
          </w:p>
        </w:tc>
        <w:tc>
          <w:tcPr>
            <w:tcW w:w="2240" w:type="dxa"/>
            <w:tcBorders>
              <w:top w:val="single" w:sz="2" w:space="0" w:color="D5D8DC"/>
              <w:left w:val="nil"/>
              <w:bottom w:val="single" w:sz="2" w:space="0" w:color="D5D8DC"/>
              <w:right w:val="nil"/>
            </w:tcBorders>
            <w:shd w:val="clear" w:color="auto" w:fill="D5F4E6"/>
            <w:tcMar>
              <w:top w:w="50" w:type="dxa"/>
              <w:left w:w="100" w:type="dxa"/>
              <w:bottom w:w="50" w:type="dxa"/>
              <w:right w:w="100" w:type="dxa"/>
            </w:tcMar>
          </w:tcPr>
          <w:p w14:paraId="2B9FECCF" w14:textId="77777777" w:rsidR="00E50131" w:rsidRDefault="00000000">
            <w:pPr>
              <w:spacing w:before="20" w:after="20"/>
              <w:jc w:val="right"/>
            </w:pPr>
            <w:r>
              <w:rPr>
                <w:rFonts w:ascii="Calibri" w:eastAsia="Calibri" w:hAnsi="Calibri" w:cs="Calibri"/>
                <w:b/>
                <w:bCs/>
                <w:color w:val="27AE60"/>
                <w:sz w:val="18"/>
                <w:szCs w:val="18"/>
              </w:rPr>
              <w:t>Aggressive accumulation</w:t>
            </w:r>
          </w:p>
        </w:tc>
      </w:tr>
      <w:tr w:rsidR="00E50131" w14:paraId="12E65628" w14:textId="77777777" w:rsidTr="000B2E1E">
        <w:tc>
          <w:tcPr>
            <w:tcW w:w="2400" w:type="dxa"/>
            <w:tcBorders>
              <w:top w:val="single" w:sz="2" w:space="0" w:color="D5D8DC"/>
              <w:left w:val="nil"/>
              <w:bottom w:val="nil"/>
              <w:right w:val="nil"/>
            </w:tcBorders>
            <w:shd w:val="clear" w:color="auto" w:fill="D5F4E6"/>
            <w:tcMar>
              <w:top w:w="50" w:type="dxa"/>
              <w:left w:w="160" w:type="dxa"/>
              <w:bottom w:w="50" w:type="dxa"/>
              <w:right w:w="100" w:type="dxa"/>
            </w:tcMar>
          </w:tcPr>
          <w:p w14:paraId="5F6F4823" w14:textId="77777777" w:rsidR="00E50131" w:rsidRDefault="00000000">
            <w:pPr>
              <w:spacing w:before="20" w:after="20"/>
            </w:pPr>
            <w:r>
              <w:rPr>
                <w:rFonts w:ascii="Calibri" w:eastAsia="Calibri" w:hAnsi="Calibri" w:cs="Calibri"/>
                <w:b/>
                <w:bCs/>
                <w:color w:val="2C3E50"/>
                <w:sz w:val="18"/>
                <w:szCs w:val="18"/>
              </w:rPr>
              <w:t>Tier 3: Exceptional</w:t>
            </w:r>
          </w:p>
        </w:tc>
        <w:tc>
          <w:tcPr>
            <w:tcW w:w="2000" w:type="dxa"/>
            <w:tcBorders>
              <w:top w:val="single" w:sz="2" w:space="0" w:color="D5D8DC"/>
              <w:left w:val="nil"/>
              <w:bottom w:val="nil"/>
              <w:right w:val="nil"/>
            </w:tcBorders>
            <w:shd w:val="clear" w:color="auto" w:fill="D5F4E6"/>
            <w:tcMar>
              <w:top w:w="50" w:type="dxa"/>
              <w:left w:w="100" w:type="dxa"/>
              <w:bottom w:w="50" w:type="dxa"/>
              <w:right w:w="100" w:type="dxa"/>
            </w:tcMar>
          </w:tcPr>
          <w:p w14:paraId="4B2F4367" w14:textId="77777777" w:rsidR="00E50131" w:rsidRDefault="00000000">
            <w:pPr>
              <w:spacing w:before="20" w:after="20"/>
              <w:jc w:val="right"/>
            </w:pPr>
            <w:r>
              <w:rPr>
                <w:rFonts w:ascii="Calibri" w:eastAsia="Calibri" w:hAnsi="Calibri" w:cs="Calibri"/>
                <w:color w:val="2C3E50"/>
                <w:sz w:val="18"/>
                <w:szCs w:val="18"/>
              </w:rPr>
              <w:t>Under $260</w:t>
            </w:r>
          </w:p>
        </w:tc>
        <w:tc>
          <w:tcPr>
            <w:tcW w:w="2000" w:type="dxa"/>
            <w:tcBorders>
              <w:top w:val="single" w:sz="2" w:space="0" w:color="D5D8DC"/>
              <w:left w:val="nil"/>
              <w:bottom w:val="nil"/>
              <w:right w:val="nil"/>
            </w:tcBorders>
            <w:shd w:val="clear" w:color="auto" w:fill="D5F4E6"/>
            <w:tcMar>
              <w:top w:w="50" w:type="dxa"/>
              <w:left w:w="100" w:type="dxa"/>
              <w:bottom w:w="50" w:type="dxa"/>
              <w:right w:w="100" w:type="dxa"/>
            </w:tcMar>
          </w:tcPr>
          <w:p w14:paraId="6F399457" w14:textId="77777777" w:rsidR="00E50131" w:rsidRDefault="00000000">
            <w:pPr>
              <w:spacing w:before="20" w:after="20"/>
              <w:jc w:val="right"/>
            </w:pPr>
            <w:r>
              <w:rPr>
                <w:rFonts w:ascii="Calibri" w:eastAsia="Calibri" w:hAnsi="Calibri" w:cs="Calibri"/>
                <w:color w:val="2C3E50"/>
                <w:sz w:val="18"/>
                <w:szCs w:val="18"/>
              </w:rPr>
              <w:t>&gt;33%</w:t>
            </w:r>
          </w:p>
        </w:tc>
        <w:tc>
          <w:tcPr>
            <w:tcW w:w="2240" w:type="dxa"/>
            <w:tcBorders>
              <w:top w:val="single" w:sz="2" w:space="0" w:color="D5D8DC"/>
              <w:left w:val="nil"/>
              <w:bottom w:val="nil"/>
              <w:right w:val="nil"/>
            </w:tcBorders>
            <w:shd w:val="clear" w:color="auto" w:fill="D5F4E6"/>
            <w:tcMar>
              <w:top w:w="50" w:type="dxa"/>
              <w:left w:w="100" w:type="dxa"/>
              <w:bottom w:w="50" w:type="dxa"/>
              <w:right w:w="100" w:type="dxa"/>
            </w:tcMar>
          </w:tcPr>
          <w:p w14:paraId="0EFCCA37" w14:textId="77777777" w:rsidR="00E50131" w:rsidRDefault="00000000">
            <w:pPr>
              <w:spacing w:before="20" w:after="20"/>
              <w:jc w:val="right"/>
            </w:pPr>
            <w:r>
              <w:rPr>
                <w:rFonts w:ascii="Calibri" w:eastAsia="Calibri" w:hAnsi="Calibri" w:cs="Calibri"/>
                <w:b/>
                <w:bCs/>
                <w:color w:val="27AE60"/>
                <w:sz w:val="18"/>
                <w:szCs w:val="18"/>
              </w:rPr>
              <w:t>Maximum conviction</w:t>
            </w:r>
          </w:p>
        </w:tc>
      </w:tr>
    </w:tbl>
    <w:p w14:paraId="2983FC86" w14:textId="77777777" w:rsidR="00E50131" w:rsidRDefault="00E50131">
      <w:pPr>
        <w:spacing w:before="80"/>
      </w:pPr>
    </w:p>
    <w:p w14:paraId="477B58CD" w14:textId="77777777" w:rsidR="00E50131" w:rsidRDefault="00000000">
      <w:pPr>
        <w:spacing w:before="80" w:after="80" w:line="312" w:lineRule="auto"/>
      </w:pPr>
      <w:r>
        <w:rPr>
          <w:b/>
          <w:bCs/>
        </w:rPr>
        <w:t xml:space="preserve">Current Assessment (February 2026): </w:t>
      </w:r>
      <w:r>
        <w:t>At ~$306, Alphabet sits squarely in Tier 1 territory. The stock offers a 22% margin of safety to our base-case intrinsic value of $390 and trades at approximately 28.5x trailing earnings, below its 5-year average P/E of ~33x and significantly below peak multiples of 40x+. For context, the consensus 12-month target of $370 implies 21% upside, whilst the highest analyst target of $443 implies 45%.</w:t>
      </w:r>
    </w:p>
    <w:p w14:paraId="620A8C2F" w14:textId="77777777" w:rsidR="00E50131" w:rsidRDefault="00000000">
      <w:pPr>
        <w:spacing w:before="80" w:after="80" w:line="312" w:lineRule="auto"/>
      </w:pPr>
      <w:r>
        <w:t xml:space="preserve">The most likely catalyst for a Tier 2 or Tier 3 entry would be a further market overreaction to quarterly </w:t>
      </w:r>
      <w:proofErr w:type="spellStart"/>
      <w:r>
        <w:t>CapEx</w:t>
      </w:r>
      <w:proofErr w:type="spellEnd"/>
      <w:r>
        <w:t xml:space="preserve"> disclosures, an adverse antitrust headline, or a broader technology sector rotation. Each of these would represent </w:t>
      </w:r>
      <w:r>
        <w:rPr>
          <w:i/>
          <w:iCs/>
        </w:rPr>
        <w:t>noise</w:t>
      </w:r>
      <w:r>
        <w:t xml:space="preserve">, not </w:t>
      </w:r>
      <w:r>
        <w:rPr>
          <w:i/>
          <w:iCs/>
        </w:rPr>
        <w:t>signal</w:t>
      </w:r>
      <w:r>
        <w:t>, and should be treated as buying opportunities by the long-term allocator.</w:t>
      </w:r>
    </w:p>
    <w:p w14:paraId="49B0CD80" w14:textId="77777777" w:rsidR="00E50131" w:rsidRDefault="00000000">
      <w:pPr>
        <w:spacing w:before="80" w:after="80" w:line="312" w:lineRule="auto"/>
      </w:pPr>
      <w:r>
        <w:rPr>
          <w:b/>
          <w:bCs/>
        </w:rPr>
        <w:lastRenderedPageBreak/>
        <w:t>Catalysts for Re-Rating:</w:t>
      </w:r>
    </w:p>
    <w:p w14:paraId="1EC88CF5" w14:textId="77777777" w:rsidR="00E50131" w:rsidRDefault="00000000">
      <w:pPr>
        <w:spacing w:before="40" w:after="40" w:line="300" w:lineRule="auto"/>
        <w:ind w:left="540" w:hanging="270"/>
      </w:pPr>
      <w:r>
        <w:rPr>
          <w:color w:val="2874A6"/>
        </w:rPr>
        <w:t xml:space="preserve">•  </w:t>
      </w:r>
      <w:r>
        <w:t>Q1/Q2 2026 earnings confirming Cloud revenue acceleration above 40%</w:t>
      </w:r>
    </w:p>
    <w:p w14:paraId="0ED4443C" w14:textId="77777777" w:rsidR="00E50131" w:rsidRDefault="00000000">
      <w:pPr>
        <w:spacing w:before="40" w:after="40" w:line="300" w:lineRule="auto"/>
        <w:ind w:left="540" w:hanging="270"/>
      </w:pPr>
      <w:r>
        <w:rPr>
          <w:color w:val="2874A6"/>
        </w:rPr>
        <w:t xml:space="preserve">•  </w:t>
      </w:r>
      <w:r>
        <w:t xml:space="preserve">Any moderation in forward </w:t>
      </w:r>
      <w:proofErr w:type="spellStart"/>
      <w:r>
        <w:t>CapEx</w:t>
      </w:r>
      <w:proofErr w:type="spellEnd"/>
      <w:r>
        <w:t xml:space="preserve"> guidance, signalling the inflection point</w:t>
      </w:r>
    </w:p>
    <w:p w14:paraId="004A723D" w14:textId="77777777" w:rsidR="00E50131" w:rsidRDefault="00000000">
      <w:pPr>
        <w:spacing w:before="40" w:after="40" w:line="300" w:lineRule="auto"/>
        <w:ind w:left="540" w:hanging="270"/>
      </w:pPr>
      <w:r>
        <w:rPr>
          <w:color w:val="2874A6"/>
        </w:rPr>
        <w:t xml:space="preserve">•  </w:t>
      </w:r>
      <w:r>
        <w:t>Waymo IPO speculation or further external funding at higher valuations</w:t>
      </w:r>
    </w:p>
    <w:p w14:paraId="430D49BA" w14:textId="77777777" w:rsidR="00E50131" w:rsidRDefault="00000000">
      <w:pPr>
        <w:spacing w:before="40" w:after="40" w:line="300" w:lineRule="auto"/>
        <w:ind w:left="540" w:hanging="270"/>
      </w:pPr>
      <w:r>
        <w:rPr>
          <w:color w:val="2874A6"/>
        </w:rPr>
        <w:t xml:space="preserve">•  </w:t>
      </w:r>
      <w:r>
        <w:t>Gemini 3 market share gains validated by third-party data</w:t>
      </w:r>
    </w:p>
    <w:p w14:paraId="6FD24DEB" w14:textId="77777777" w:rsidR="00E50131" w:rsidRDefault="00000000">
      <w:pPr>
        <w:spacing w:before="40" w:after="40" w:line="300" w:lineRule="auto"/>
        <w:ind w:left="540" w:hanging="270"/>
      </w:pPr>
      <w:r>
        <w:rPr>
          <w:color w:val="2874A6"/>
        </w:rPr>
        <w:t xml:space="preserve">•  </w:t>
      </w:r>
      <w:r>
        <w:t>Resolution of antitrust appeals with structural integrity preserved</w:t>
      </w:r>
    </w:p>
    <w:p w14:paraId="7204276E" w14:textId="77777777" w:rsidR="00E50131" w:rsidRDefault="00000000">
      <w:pPr>
        <w:pBdr>
          <w:bottom w:val="single" w:sz="6" w:space="4" w:color="2874A6"/>
        </w:pBdr>
        <w:spacing w:before="400" w:after="100"/>
      </w:pPr>
      <w:r>
        <w:rPr>
          <w:rFonts w:ascii="Calibri" w:eastAsia="Calibri" w:hAnsi="Calibri" w:cs="Calibri"/>
          <w:b/>
          <w:bCs/>
          <w:color w:val="1B4F72"/>
          <w:spacing w:val="60"/>
          <w:sz w:val="28"/>
          <w:szCs w:val="28"/>
        </w:rPr>
        <w:t>SUMMARY VERDICT &amp; STRATEGIC VIEW</w:t>
      </w:r>
    </w:p>
    <w:p w14:paraId="246998EE" w14:textId="77777777" w:rsidR="00E50131" w:rsidRDefault="00000000">
      <w:pPr>
        <w:spacing w:before="80" w:after="80" w:line="312" w:lineRule="auto"/>
      </w:pPr>
      <w:r>
        <w:t xml:space="preserve">Alphabet represents a </w:t>
      </w:r>
      <w:r>
        <w:rPr>
          <w:b/>
          <w:bCs/>
          <w:color w:val="27AE60"/>
        </w:rPr>
        <w:t>High-Conviction Structural Position</w:t>
      </w:r>
      <w:r>
        <w:t xml:space="preserve">. The market’s fixation on near-term </w:t>
      </w:r>
      <w:proofErr w:type="spellStart"/>
      <w:r>
        <w:t>CapEx</w:t>
      </w:r>
      <w:proofErr w:type="spellEnd"/>
      <w:r>
        <w:t xml:space="preserve"> guidance has created a valuation anomaly in a company that dominates search, is winning the cloud infrastructure race, fields arguably the world’s most capable AI model family, and owns the only commercially operational robotaxi fleet at global scale.</w:t>
      </w:r>
    </w:p>
    <w:p w14:paraId="021CA095" w14:textId="77777777" w:rsidR="00E50131" w:rsidRDefault="00E50131" w:rsidP="000B2E1E">
      <w:pPr>
        <w:pBdr>
          <w:between w:val="single" w:sz="4" w:space="1" w:color="auto"/>
        </w:pBdr>
        <w:spacing w:before="100"/>
      </w:pPr>
    </w:p>
    <w:tbl>
      <w:tblPr>
        <w:tblW w:w="8640" w:type="dxa"/>
        <w:tblCellMar>
          <w:left w:w="10" w:type="dxa"/>
          <w:right w:w="10" w:type="dxa"/>
        </w:tblCellMar>
        <w:tblLook w:val="04A0" w:firstRow="1" w:lastRow="0" w:firstColumn="1" w:lastColumn="0" w:noHBand="0" w:noVBand="1"/>
      </w:tblPr>
      <w:tblGrid>
        <w:gridCol w:w="5040"/>
        <w:gridCol w:w="3600"/>
      </w:tblGrid>
      <w:tr w:rsidR="00E50131" w14:paraId="5F043D15" w14:textId="77777777" w:rsidTr="000B2E1E">
        <w:trPr>
          <w:tblHeader/>
        </w:trPr>
        <w:tc>
          <w:tcPr>
            <w:tcW w:w="5040" w:type="dxa"/>
            <w:shd w:val="clear" w:color="auto" w:fill="1B4F72"/>
            <w:tcMar>
              <w:top w:w="70" w:type="dxa"/>
              <w:left w:w="160" w:type="dxa"/>
              <w:bottom w:w="70" w:type="dxa"/>
              <w:right w:w="100" w:type="dxa"/>
            </w:tcMar>
          </w:tcPr>
          <w:p w14:paraId="1F49177F" w14:textId="77777777" w:rsidR="00E50131" w:rsidRDefault="00000000" w:rsidP="000B2E1E">
            <w:pPr>
              <w:pBdr>
                <w:between w:val="single" w:sz="4" w:space="1" w:color="auto"/>
              </w:pBdr>
            </w:pPr>
            <w:r>
              <w:rPr>
                <w:rFonts w:ascii="Calibri" w:eastAsia="Calibri" w:hAnsi="Calibri" w:cs="Calibri"/>
                <w:b/>
                <w:bCs/>
                <w:color w:val="FFFFFF"/>
                <w:sz w:val="18"/>
                <w:szCs w:val="18"/>
              </w:rPr>
              <w:t>Key Data Point</w:t>
            </w:r>
          </w:p>
        </w:tc>
        <w:tc>
          <w:tcPr>
            <w:tcW w:w="3600" w:type="dxa"/>
            <w:shd w:val="clear" w:color="auto" w:fill="1B4F72"/>
            <w:tcMar>
              <w:top w:w="70" w:type="dxa"/>
              <w:left w:w="100" w:type="dxa"/>
              <w:bottom w:w="70" w:type="dxa"/>
              <w:right w:w="100" w:type="dxa"/>
            </w:tcMar>
          </w:tcPr>
          <w:p w14:paraId="521732C9" w14:textId="77777777" w:rsidR="00E50131" w:rsidRDefault="00000000" w:rsidP="000B2E1E">
            <w:pPr>
              <w:pBdr>
                <w:between w:val="single" w:sz="4" w:space="1" w:color="auto"/>
              </w:pBdr>
              <w:jc w:val="right"/>
            </w:pPr>
            <w:r>
              <w:rPr>
                <w:rFonts w:ascii="Calibri" w:eastAsia="Calibri" w:hAnsi="Calibri" w:cs="Calibri"/>
                <w:b/>
                <w:bCs/>
                <w:color w:val="FFFFFF"/>
                <w:sz w:val="18"/>
                <w:szCs w:val="18"/>
              </w:rPr>
              <w:t>Current</w:t>
            </w:r>
          </w:p>
        </w:tc>
      </w:tr>
      <w:tr w:rsidR="00E50131" w14:paraId="7A2770DD" w14:textId="77777777" w:rsidTr="000B2E1E">
        <w:tc>
          <w:tcPr>
            <w:tcW w:w="5040" w:type="dxa"/>
            <w:shd w:val="clear" w:color="auto" w:fill="F7F9FB"/>
            <w:tcMar>
              <w:top w:w="50" w:type="dxa"/>
              <w:left w:w="160" w:type="dxa"/>
              <w:bottom w:w="50" w:type="dxa"/>
              <w:right w:w="100" w:type="dxa"/>
            </w:tcMar>
          </w:tcPr>
          <w:p w14:paraId="40A83654" w14:textId="77777777" w:rsidR="00E50131" w:rsidRDefault="00000000" w:rsidP="000B2E1E">
            <w:pPr>
              <w:pBdr>
                <w:between w:val="single" w:sz="4" w:space="1" w:color="auto"/>
              </w:pBdr>
              <w:spacing w:before="20" w:after="20"/>
            </w:pPr>
            <w:r>
              <w:rPr>
                <w:rFonts w:ascii="Calibri" w:eastAsia="Calibri" w:hAnsi="Calibri" w:cs="Calibri"/>
                <w:b/>
                <w:bCs/>
                <w:color w:val="2C3E50"/>
                <w:sz w:val="18"/>
                <w:szCs w:val="18"/>
              </w:rPr>
              <w:t>Market Capitalisation</w:t>
            </w:r>
          </w:p>
        </w:tc>
        <w:tc>
          <w:tcPr>
            <w:tcW w:w="3600" w:type="dxa"/>
            <w:shd w:val="clear" w:color="auto" w:fill="F7F9FB"/>
            <w:tcMar>
              <w:top w:w="50" w:type="dxa"/>
              <w:left w:w="100" w:type="dxa"/>
              <w:bottom w:w="50" w:type="dxa"/>
              <w:right w:w="100" w:type="dxa"/>
            </w:tcMar>
          </w:tcPr>
          <w:p w14:paraId="10391D58" w14:textId="77777777" w:rsidR="00E50131" w:rsidRDefault="00000000" w:rsidP="000B2E1E">
            <w:pPr>
              <w:pBdr>
                <w:between w:val="single" w:sz="4" w:space="1" w:color="auto"/>
              </w:pBdr>
              <w:spacing w:before="20" w:after="20"/>
              <w:jc w:val="right"/>
            </w:pPr>
            <w:r>
              <w:rPr>
                <w:rFonts w:ascii="Calibri" w:eastAsia="Calibri" w:hAnsi="Calibri" w:cs="Calibri"/>
                <w:b/>
                <w:bCs/>
                <w:color w:val="2C3E50"/>
                <w:sz w:val="18"/>
                <w:szCs w:val="18"/>
              </w:rPr>
              <w:t>$3.7 Trillion</w:t>
            </w:r>
          </w:p>
        </w:tc>
      </w:tr>
      <w:tr w:rsidR="00E50131" w14:paraId="023AC5AA" w14:textId="77777777" w:rsidTr="000B2E1E">
        <w:tc>
          <w:tcPr>
            <w:tcW w:w="5040" w:type="dxa"/>
            <w:shd w:val="clear" w:color="auto" w:fill="FFFFFF"/>
            <w:tcMar>
              <w:top w:w="50" w:type="dxa"/>
              <w:left w:w="160" w:type="dxa"/>
              <w:bottom w:w="50" w:type="dxa"/>
              <w:right w:w="100" w:type="dxa"/>
            </w:tcMar>
          </w:tcPr>
          <w:p w14:paraId="5621BB74" w14:textId="77777777" w:rsidR="00E50131" w:rsidRDefault="00000000" w:rsidP="000B2E1E">
            <w:pPr>
              <w:pBdr>
                <w:between w:val="single" w:sz="4" w:space="1" w:color="auto"/>
              </w:pBdr>
              <w:spacing w:before="20" w:after="20"/>
            </w:pPr>
            <w:r>
              <w:rPr>
                <w:rFonts w:ascii="Calibri" w:eastAsia="Calibri" w:hAnsi="Calibri" w:cs="Calibri"/>
                <w:b/>
                <w:bCs/>
                <w:color w:val="2C3E50"/>
                <w:sz w:val="18"/>
                <w:szCs w:val="18"/>
              </w:rPr>
              <w:t>Current Price</w:t>
            </w:r>
          </w:p>
        </w:tc>
        <w:tc>
          <w:tcPr>
            <w:tcW w:w="3600" w:type="dxa"/>
            <w:shd w:val="clear" w:color="auto" w:fill="FFFFFF"/>
            <w:tcMar>
              <w:top w:w="50" w:type="dxa"/>
              <w:left w:w="100" w:type="dxa"/>
              <w:bottom w:w="50" w:type="dxa"/>
              <w:right w:w="100" w:type="dxa"/>
            </w:tcMar>
          </w:tcPr>
          <w:p w14:paraId="67214401" w14:textId="77777777" w:rsidR="00E50131" w:rsidRDefault="00000000" w:rsidP="000B2E1E">
            <w:pPr>
              <w:pBdr>
                <w:between w:val="single" w:sz="4" w:space="1" w:color="auto"/>
              </w:pBdr>
              <w:spacing w:before="20" w:after="20"/>
              <w:jc w:val="right"/>
            </w:pPr>
            <w:r>
              <w:rPr>
                <w:rFonts w:ascii="Calibri" w:eastAsia="Calibri" w:hAnsi="Calibri" w:cs="Calibri"/>
                <w:b/>
                <w:bCs/>
                <w:color w:val="2C3E50"/>
                <w:sz w:val="18"/>
                <w:szCs w:val="18"/>
              </w:rPr>
              <w:t>~$306</w:t>
            </w:r>
          </w:p>
        </w:tc>
      </w:tr>
      <w:tr w:rsidR="00E50131" w14:paraId="356C76DD" w14:textId="77777777" w:rsidTr="000B2E1E">
        <w:tc>
          <w:tcPr>
            <w:tcW w:w="5040" w:type="dxa"/>
            <w:shd w:val="clear" w:color="auto" w:fill="F7F9FB"/>
            <w:tcMar>
              <w:top w:w="50" w:type="dxa"/>
              <w:left w:w="160" w:type="dxa"/>
              <w:bottom w:w="50" w:type="dxa"/>
              <w:right w:w="100" w:type="dxa"/>
            </w:tcMar>
          </w:tcPr>
          <w:p w14:paraId="23BDC26E" w14:textId="77777777" w:rsidR="00E50131" w:rsidRDefault="00000000" w:rsidP="000B2E1E">
            <w:pPr>
              <w:pBdr>
                <w:between w:val="single" w:sz="4" w:space="1" w:color="auto"/>
              </w:pBdr>
              <w:spacing w:before="20" w:after="20"/>
            </w:pPr>
            <w:r>
              <w:rPr>
                <w:rFonts w:ascii="Calibri" w:eastAsia="Calibri" w:hAnsi="Calibri" w:cs="Calibri"/>
                <w:b/>
                <w:bCs/>
                <w:color w:val="2C3E50"/>
                <w:sz w:val="18"/>
                <w:szCs w:val="18"/>
              </w:rPr>
              <w:t>DCF Intrinsic Value (Base)</w:t>
            </w:r>
          </w:p>
        </w:tc>
        <w:tc>
          <w:tcPr>
            <w:tcW w:w="3600" w:type="dxa"/>
            <w:shd w:val="clear" w:color="auto" w:fill="F7F9FB"/>
            <w:tcMar>
              <w:top w:w="50" w:type="dxa"/>
              <w:left w:w="100" w:type="dxa"/>
              <w:bottom w:w="50" w:type="dxa"/>
              <w:right w:w="100" w:type="dxa"/>
            </w:tcMar>
          </w:tcPr>
          <w:p w14:paraId="41D8CE3B" w14:textId="77777777" w:rsidR="00E50131" w:rsidRDefault="00000000" w:rsidP="000B2E1E">
            <w:pPr>
              <w:pBdr>
                <w:between w:val="single" w:sz="4" w:space="1" w:color="auto"/>
              </w:pBdr>
              <w:spacing w:before="20" w:after="20"/>
              <w:jc w:val="right"/>
            </w:pPr>
            <w:r>
              <w:rPr>
                <w:rFonts w:ascii="Calibri" w:eastAsia="Calibri" w:hAnsi="Calibri" w:cs="Calibri"/>
                <w:b/>
                <w:bCs/>
                <w:color w:val="27AE60"/>
                <w:sz w:val="18"/>
                <w:szCs w:val="18"/>
              </w:rPr>
              <w:t>$390 per share</w:t>
            </w:r>
          </w:p>
        </w:tc>
      </w:tr>
      <w:tr w:rsidR="00E50131" w14:paraId="1F63F390" w14:textId="77777777" w:rsidTr="000B2E1E">
        <w:tc>
          <w:tcPr>
            <w:tcW w:w="5040" w:type="dxa"/>
            <w:shd w:val="clear" w:color="auto" w:fill="FFFFFF"/>
            <w:tcMar>
              <w:top w:w="50" w:type="dxa"/>
              <w:left w:w="160" w:type="dxa"/>
              <w:bottom w:w="50" w:type="dxa"/>
              <w:right w:w="100" w:type="dxa"/>
            </w:tcMar>
          </w:tcPr>
          <w:p w14:paraId="1D18D66D" w14:textId="77777777" w:rsidR="00E50131" w:rsidRDefault="00000000" w:rsidP="000B2E1E">
            <w:pPr>
              <w:pBdr>
                <w:between w:val="single" w:sz="4" w:space="1" w:color="auto"/>
              </w:pBdr>
              <w:spacing w:before="20" w:after="20"/>
            </w:pPr>
            <w:r>
              <w:rPr>
                <w:rFonts w:ascii="Calibri" w:eastAsia="Calibri" w:hAnsi="Calibri" w:cs="Calibri"/>
                <w:b/>
                <w:bCs/>
                <w:color w:val="2C3E50"/>
                <w:sz w:val="18"/>
                <w:szCs w:val="18"/>
              </w:rPr>
              <w:t>Margin of Safety</w:t>
            </w:r>
          </w:p>
        </w:tc>
        <w:tc>
          <w:tcPr>
            <w:tcW w:w="3600" w:type="dxa"/>
            <w:shd w:val="clear" w:color="auto" w:fill="FFFFFF"/>
            <w:tcMar>
              <w:top w:w="50" w:type="dxa"/>
              <w:left w:w="100" w:type="dxa"/>
              <w:bottom w:w="50" w:type="dxa"/>
              <w:right w:w="100" w:type="dxa"/>
            </w:tcMar>
          </w:tcPr>
          <w:p w14:paraId="5CE6DAC7" w14:textId="77777777" w:rsidR="00E50131" w:rsidRDefault="00000000" w:rsidP="000B2E1E">
            <w:pPr>
              <w:pBdr>
                <w:between w:val="single" w:sz="4" w:space="1" w:color="auto"/>
              </w:pBdr>
              <w:spacing w:before="20" w:after="20"/>
              <w:jc w:val="right"/>
            </w:pPr>
            <w:r>
              <w:rPr>
                <w:rFonts w:ascii="Calibri" w:eastAsia="Calibri" w:hAnsi="Calibri" w:cs="Calibri"/>
                <w:b/>
                <w:bCs/>
                <w:color w:val="27AE60"/>
                <w:sz w:val="18"/>
                <w:szCs w:val="18"/>
              </w:rPr>
              <w:t>22%</w:t>
            </w:r>
          </w:p>
        </w:tc>
      </w:tr>
      <w:tr w:rsidR="00E50131" w14:paraId="55F2BC41" w14:textId="77777777" w:rsidTr="000B2E1E">
        <w:tc>
          <w:tcPr>
            <w:tcW w:w="5040" w:type="dxa"/>
            <w:shd w:val="clear" w:color="auto" w:fill="F7F9FB"/>
            <w:tcMar>
              <w:top w:w="50" w:type="dxa"/>
              <w:left w:w="160" w:type="dxa"/>
              <w:bottom w:w="50" w:type="dxa"/>
              <w:right w:w="100" w:type="dxa"/>
            </w:tcMar>
          </w:tcPr>
          <w:p w14:paraId="5883AB09" w14:textId="77777777" w:rsidR="00E50131" w:rsidRDefault="00000000" w:rsidP="000B2E1E">
            <w:pPr>
              <w:pBdr>
                <w:between w:val="single" w:sz="4" w:space="1" w:color="auto"/>
              </w:pBdr>
              <w:spacing w:before="20" w:after="20"/>
            </w:pPr>
            <w:r>
              <w:rPr>
                <w:rFonts w:ascii="Calibri" w:eastAsia="Calibri" w:hAnsi="Calibri" w:cs="Calibri"/>
                <w:b/>
                <w:bCs/>
                <w:color w:val="2C3E50"/>
                <w:sz w:val="18"/>
                <w:szCs w:val="18"/>
              </w:rPr>
              <w:t>12-Month Target (Base)</w:t>
            </w:r>
          </w:p>
        </w:tc>
        <w:tc>
          <w:tcPr>
            <w:tcW w:w="3600" w:type="dxa"/>
            <w:shd w:val="clear" w:color="auto" w:fill="F7F9FB"/>
            <w:tcMar>
              <w:top w:w="50" w:type="dxa"/>
              <w:left w:w="100" w:type="dxa"/>
              <w:bottom w:w="50" w:type="dxa"/>
              <w:right w:w="100" w:type="dxa"/>
            </w:tcMar>
          </w:tcPr>
          <w:p w14:paraId="4E455C4C" w14:textId="77777777" w:rsidR="00E50131" w:rsidRDefault="00000000" w:rsidP="000B2E1E">
            <w:pPr>
              <w:pBdr>
                <w:between w:val="single" w:sz="4" w:space="1" w:color="auto"/>
              </w:pBdr>
              <w:spacing w:before="20" w:after="20"/>
              <w:jc w:val="right"/>
            </w:pPr>
            <w:r>
              <w:rPr>
                <w:rFonts w:ascii="Calibri" w:eastAsia="Calibri" w:hAnsi="Calibri" w:cs="Calibri"/>
                <w:b/>
                <w:bCs/>
                <w:color w:val="2C3E50"/>
                <w:sz w:val="18"/>
                <w:szCs w:val="18"/>
              </w:rPr>
              <w:t>$370</w:t>
            </w:r>
          </w:p>
        </w:tc>
      </w:tr>
      <w:tr w:rsidR="00E50131" w14:paraId="61E805BD" w14:textId="77777777" w:rsidTr="000B2E1E">
        <w:tc>
          <w:tcPr>
            <w:tcW w:w="5040" w:type="dxa"/>
            <w:shd w:val="clear" w:color="auto" w:fill="FFFFFF"/>
            <w:tcMar>
              <w:top w:w="50" w:type="dxa"/>
              <w:left w:w="160" w:type="dxa"/>
              <w:bottom w:w="50" w:type="dxa"/>
              <w:right w:w="100" w:type="dxa"/>
            </w:tcMar>
          </w:tcPr>
          <w:p w14:paraId="5C2CF1FD" w14:textId="77777777" w:rsidR="00E50131" w:rsidRDefault="00000000" w:rsidP="000B2E1E">
            <w:pPr>
              <w:pBdr>
                <w:between w:val="single" w:sz="4" w:space="1" w:color="auto"/>
              </w:pBdr>
              <w:spacing w:before="20" w:after="20"/>
            </w:pPr>
            <w:r>
              <w:rPr>
                <w:rFonts w:ascii="Calibri" w:eastAsia="Calibri" w:hAnsi="Calibri" w:cs="Calibri"/>
                <w:b/>
                <w:bCs/>
                <w:color w:val="2C3E50"/>
                <w:sz w:val="18"/>
                <w:szCs w:val="18"/>
              </w:rPr>
              <w:t>12-Month Target (Bull)</w:t>
            </w:r>
          </w:p>
        </w:tc>
        <w:tc>
          <w:tcPr>
            <w:tcW w:w="3600" w:type="dxa"/>
            <w:shd w:val="clear" w:color="auto" w:fill="FFFFFF"/>
            <w:tcMar>
              <w:top w:w="50" w:type="dxa"/>
              <w:left w:w="100" w:type="dxa"/>
              <w:bottom w:w="50" w:type="dxa"/>
              <w:right w:w="100" w:type="dxa"/>
            </w:tcMar>
          </w:tcPr>
          <w:p w14:paraId="434C51B9" w14:textId="77777777" w:rsidR="00E50131" w:rsidRDefault="00000000" w:rsidP="000B2E1E">
            <w:pPr>
              <w:pBdr>
                <w:between w:val="single" w:sz="4" w:space="1" w:color="auto"/>
              </w:pBdr>
              <w:spacing w:before="20" w:after="20"/>
              <w:jc w:val="right"/>
            </w:pPr>
            <w:r>
              <w:rPr>
                <w:rFonts w:ascii="Calibri" w:eastAsia="Calibri" w:hAnsi="Calibri" w:cs="Calibri"/>
                <w:b/>
                <w:bCs/>
                <w:color w:val="27AE60"/>
                <w:sz w:val="18"/>
                <w:szCs w:val="18"/>
              </w:rPr>
              <w:t>$430</w:t>
            </w:r>
          </w:p>
        </w:tc>
      </w:tr>
      <w:tr w:rsidR="00E50131" w14:paraId="144A6B3F" w14:textId="77777777" w:rsidTr="000B2E1E">
        <w:tc>
          <w:tcPr>
            <w:tcW w:w="5040" w:type="dxa"/>
            <w:shd w:val="clear" w:color="auto" w:fill="D5F4E6"/>
            <w:tcMar>
              <w:top w:w="50" w:type="dxa"/>
              <w:left w:w="160" w:type="dxa"/>
              <w:bottom w:w="50" w:type="dxa"/>
              <w:right w:w="100" w:type="dxa"/>
            </w:tcMar>
          </w:tcPr>
          <w:p w14:paraId="1D311434" w14:textId="77777777" w:rsidR="00E50131" w:rsidRDefault="00000000" w:rsidP="000B2E1E">
            <w:pPr>
              <w:pBdr>
                <w:between w:val="single" w:sz="4" w:space="1" w:color="auto"/>
              </w:pBdr>
              <w:spacing w:before="20" w:after="20"/>
            </w:pPr>
            <w:r>
              <w:rPr>
                <w:rFonts w:ascii="Calibri" w:eastAsia="Calibri" w:hAnsi="Calibri" w:cs="Calibri"/>
                <w:b/>
                <w:bCs/>
                <w:color w:val="2C3E50"/>
                <w:sz w:val="18"/>
                <w:szCs w:val="18"/>
              </w:rPr>
              <w:t>Optimal Entry (Strong Buy)</w:t>
            </w:r>
          </w:p>
        </w:tc>
        <w:tc>
          <w:tcPr>
            <w:tcW w:w="3600" w:type="dxa"/>
            <w:shd w:val="clear" w:color="auto" w:fill="D5F4E6"/>
            <w:tcMar>
              <w:top w:w="50" w:type="dxa"/>
              <w:left w:w="100" w:type="dxa"/>
              <w:bottom w:w="50" w:type="dxa"/>
              <w:right w:w="100" w:type="dxa"/>
            </w:tcMar>
          </w:tcPr>
          <w:p w14:paraId="7EE0E1FC" w14:textId="77777777" w:rsidR="00E50131" w:rsidRDefault="00000000" w:rsidP="000B2E1E">
            <w:pPr>
              <w:pBdr>
                <w:between w:val="single" w:sz="4" w:space="1" w:color="auto"/>
              </w:pBdr>
              <w:spacing w:before="20" w:after="20"/>
              <w:jc w:val="right"/>
            </w:pPr>
            <w:r>
              <w:rPr>
                <w:rFonts w:ascii="Calibri" w:eastAsia="Calibri" w:hAnsi="Calibri" w:cs="Calibri"/>
                <w:b/>
                <w:bCs/>
                <w:color w:val="27AE60"/>
                <w:sz w:val="18"/>
                <w:szCs w:val="18"/>
              </w:rPr>
              <w:t>$260–$290</w:t>
            </w:r>
          </w:p>
        </w:tc>
      </w:tr>
      <w:tr w:rsidR="00E50131" w14:paraId="5BE9D528" w14:textId="77777777" w:rsidTr="000B2E1E">
        <w:tc>
          <w:tcPr>
            <w:tcW w:w="5040" w:type="dxa"/>
            <w:shd w:val="clear" w:color="auto" w:fill="FFFFFF"/>
            <w:tcMar>
              <w:top w:w="50" w:type="dxa"/>
              <w:left w:w="160" w:type="dxa"/>
              <w:bottom w:w="50" w:type="dxa"/>
              <w:right w:w="100" w:type="dxa"/>
            </w:tcMar>
          </w:tcPr>
          <w:p w14:paraId="06011C8B" w14:textId="77777777" w:rsidR="00E50131" w:rsidRDefault="00000000" w:rsidP="000B2E1E">
            <w:pPr>
              <w:pBdr>
                <w:between w:val="single" w:sz="4" w:space="1" w:color="auto"/>
              </w:pBdr>
              <w:spacing w:before="20" w:after="20"/>
            </w:pPr>
            <w:r>
              <w:rPr>
                <w:rFonts w:ascii="Calibri" w:eastAsia="Calibri" w:hAnsi="Calibri" w:cs="Calibri"/>
                <w:b/>
                <w:bCs/>
                <w:color w:val="2C3E50"/>
                <w:sz w:val="18"/>
                <w:szCs w:val="18"/>
              </w:rPr>
              <w:t>Waymo Standalone Valuation</w:t>
            </w:r>
          </w:p>
        </w:tc>
        <w:tc>
          <w:tcPr>
            <w:tcW w:w="3600" w:type="dxa"/>
            <w:shd w:val="clear" w:color="auto" w:fill="FFFFFF"/>
            <w:tcMar>
              <w:top w:w="50" w:type="dxa"/>
              <w:left w:w="100" w:type="dxa"/>
              <w:bottom w:w="50" w:type="dxa"/>
              <w:right w:w="100" w:type="dxa"/>
            </w:tcMar>
          </w:tcPr>
          <w:p w14:paraId="73B0AD00" w14:textId="77777777" w:rsidR="00E50131" w:rsidRDefault="00000000" w:rsidP="000B2E1E">
            <w:pPr>
              <w:pBdr>
                <w:between w:val="single" w:sz="4" w:space="1" w:color="auto"/>
              </w:pBdr>
              <w:spacing w:before="20" w:after="20"/>
              <w:jc w:val="right"/>
            </w:pPr>
            <w:r>
              <w:rPr>
                <w:rFonts w:ascii="Calibri" w:eastAsia="Calibri" w:hAnsi="Calibri" w:cs="Calibri"/>
                <w:b/>
                <w:bCs/>
                <w:color w:val="2C3E50"/>
                <w:sz w:val="18"/>
                <w:szCs w:val="18"/>
              </w:rPr>
              <w:t>$126B</w:t>
            </w:r>
          </w:p>
        </w:tc>
      </w:tr>
    </w:tbl>
    <w:p w14:paraId="34A3389F" w14:textId="77777777" w:rsidR="00E50131" w:rsidRDefault="00000000">
      <w:pPr>
        <w:pBdr>
          <w:left w:val="single" w:sz="12" w:space="12" w:color="2874A6"/>
        </w:pBdr>
        <w:shd w:val="clear" w:color="auto" w:fill="F8F9FA"/>
        <w:spacing w:before="300" w:after="300"/>
        <w:ind w:left="720" w:right="720"/>
      </w:pPr>
      <w:r>
        <w:rPr>
          <w:i/>
          <w:iCs/>
          <w:color w:val="1B4F72"/>
          <w:sz w:val="24"/>
          <w:szCs w:val="24"/>
        </w:rPr>
        <w:t>“Alphabet is not spending into the void. It is converting capital expenditure into the infrastructure of intelligence, and the market is still pricing the bricks whilst ignoring the building.”</w:t>
      </w:r>
    </w:p>
    <w:p w14:paraId="74C00479" w14:textId="77777777" w:rsidR="00E50131" w:rsidRDefault="00000000">
      <w:pPr>
        <w:spacing w:before="200" w:after="60"/>
        <w:jc w:val="center"/>
      </w:pPr>
      <w:r>
        <w:rPr>
          <w:rFonts w:ascii="Calibri" w:eastAsia="Calibri" w:hAnsi="Calibri" w:cs="Calibri"/>
          <w:b/>
          <w:bCs/>
          <w:color w:val="1B4F72"/>
          <w:spacing w:val="80"/>
        </w:rPr>
        <w:t>THE SOLO STRATEGIST TACTICAL VIEW</w:t>
      </w:r>
    </w:p>
    <w:p w14:paraId="05789890" w14:textId="77777777" w:rsidR="00E50131" w:rsidRDefault="00000000">
      <w:pPr>
        <w:spacing w:after="200"/>
        <w:jc w:val="center"/>
      </w:pPr>
      <w:r>
        <w:rPr>
          <w:color w:val="7F8C8D"/>
        </w:rPr>
        <w:t xml:space="preserve">At ~$306, Alphabet offers a 22% margin of safety to intrinsic value. Any pullback below $290 represents a Strong Buy. Periods of </w:t>
      </w:r>
      <w:proofErr w:type="spellStart"/>
      <w:r>
        <w:rPr>
          <w:color w:val="7F8C8D"/>
        </w:rPr>
        <w:t>CapEx</w:t>
      </w:r>
      <w:proofErr w:type="spellEnd"/>
      <w:r>
        <w:rPr>
          <w:color w:val="7F8C8D"/>
        </w:rPr>
        <w:t>-driven sentiment weakness are accumulation opportunities for the disciplined, long-term allocator.</w:t>
      </w:r>
    </w:p>
    <w:p w14:paraId="7E817080" w14:textId="77777777" w:rsidR="00E50131" w:rsidRDefault="00000000">
      <w:pPr>
        <w:spacing w:before="240" w:after="240"/>
        <w:jc w:val="center"/>
      </w:pPr>
      <w:r>
        <w:rPr>
          <w:noProof/>
        </w:rPr>
        <w:lastRenderedPageBreak/>
        <w:drawing>
          <wp:inline distT="0" distB="0" distL="0" distR="0" wp14:anchorId="4E4E87CC" wp14:editId="35BC881C">
            <wp:extent cx="4667250" cy="1304925"/>
            <wp:effectExtent l="0" t="0" r="0" b="0"/>
            <wp:docPr id="938218744" name="closure.png" descr="closure.png" title="clo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1304925"/>
                    </a:xfrm>
                    <a:prstGeom prst="rect">
                      <a:avLst/>
                    </a:prstGeom>
                  </pic:spPr>
                </pic:pic>
              </a:graphicData>
            </a:graphic>
          </wp:inline>
        </w:drawing>
      </w:r>
    </w:p>
    <w:p w14:paraId="46C5D470" w14:textId="77777777" w:rsidR="00E50131" w:rsidRDefault="00E50131">
      <w:pPr>
        <w:pBdr>
          <w:bottom w:val="single" w:sz="4" w:space="1" w:color="2874A6"/>
        </w:pBdr>
        <w:spacing w:before="160" w:after="160"/>
      </w:pPr>
    </w:p>
    <w:p w14:paraId="2E73A2C8" w14:textId="77777777" w:rsidR="00E50131" w:rsidRDefault="00000000">
      <w:pPr>
        <w:spacing w:before="100" w:after="100"/>
        <w:jc w:val="center"/>
      </w:pPr>
      <w:r>
        <w:rPr>
          <w:rFonts w:ascii="Calibri" w:eastAsia="Calibri" w:hAnsi="Calibri" w:cs="Calibri"/>
          <w:i/>
          <w:iCs/>
          <w:color w:val="BDC3C7"/>
          <w:sz w:val="16"/>
          <w:szCs w:val="16"/>
        </w:rPr>
        <w:t>Disclaimer: This analysis is for informational purposes only and does not constitute investment advice.</w:t>
      </w:r>
    </w:p>
    <w:p w14:paraId="2538A12F" w14:textId="77777777" w:rsidR="00E50131" w:rsidRDefault="00000000">
      <w:pPr>
        <w:spacing w:after="300"/>
        <w:jc w:val="center"/>
      </w:pPr>
      <w:r>
        <w:rPr>
          <w:i/>
          <w:iCs/>
          <w:color w:val="7F8C8D"/>
          <w:sz w:val="20"/>
          <w:szCs w:val="20"/>
        </w:rPr>
        <w:t>Interested in a complementary analysis of defensive portfolio positions? Let us know if you would like a similar deep-dive on countercyclical assets to balance this growth-heavy position.</w:t>
      </w:r>
    </w:p>
    <w:sectPr w:rsidR="00E50131">
      <w:headerReference w:type="default" r:id="rId13"/>
      <w:footerReference w:type="default" r:id="rId14"/>
      <w:pgSz w:w="12240" w:h="15840"/>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CA7D2" w14:textId="77777777" w:rsidR="002A282D" w:rsidRDefault="002A282D">
      <w:r>
        <w:separator/>
      </w:r>
    </w:p>
  </w:endnote>
  <w:endnote w:type="continuationSeparator" w:id="0">
    <w:p w14:paraId="08FED918" w14:textId="77777777" w:rsidR="002A282D" w:rsidRDefault="002A2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84ED" w14:textId="77777777" w:rsidR="00E50131" w:rsidRDefault="00000000">
    <w:pPr>
      <w:pBdr>
        <w:top w:val="single" w:sz="2" w:space="6" w:color="D5D8DC"/>
      </w:pBdr>
      <w:tabs>
        <w:tab w:val="right" w:pos="9026"/>
      </w:tabs>
    </w:pPr>
    <w:r>
      <w:rPr>
        <w:rFonts w:ascii="Calibri" w:eastAsia="Calibri" w:hAnsi="Calibri" w:cs="Calibri"/>
        <w:color w:val="BDC3C7"/>
        <w:sz w:val="14"/>
        <w:szCs w:val="14"/>
      </w:rPr>
      <w:t>solo-strategist.com</w:t>
    </w:r>
    <w:r>
      <w:rPr>
        <w:rFonts w:ascii="Calibri" w:eastAsia="Calibri" w:hAnsi="Calibri" w:cs="Calibri"/>
        <w:sz w:val="14"/>
        <w:szCs w:val="14"/>
      </w:rPr>
      <w:tab/>
    </w:r>
    <w:r>
      <w:rPr>
        <w:rFonts w:ascii="Calibri" w:eastAsia="Calibri" w:hAnsi="Calibri" w:cs="Calibri"/>
        <w:color w:val="BDC3C7"/>
        <w:sz w:val="14"/>
        <w:szCs w:val="14"/>
      </w:rPr>
      <w:t xml:space="preserve">Page </w:t>
    </w:r>
    <w:r>
      <w:rPr>
        <w:rFonts w:ascii="Calibri" w:eastAsia="Calibri" w:hAnsi="Calibri" w:cs="Calibri"/>
        <w:color w:val="BDC3C7"/>
        <w:sz w:val="14"/>
        <w:szCs w:val="14"/>
      </w:rPr>
      <w:fldChar w:fldCharType="begin"/>
    </w:r>
    <w:r>
      <w:rPr>
        <w:rFonts w:ascii="Calibri" w:eastAsia="Calibri" w:hAnsi="Calibri" w:cs="Calibri"/>
        <w:color w:val="BDC3C7"/>
        <w:sz w:val="14"/>
        <w:szCs w:val="14"/>
      </w:rPr>
      <w:instrText>PAGE</w:instrText>
    </w:r>
    <w:r>
      <w:rPr>
        <w:rFonts w:ascii="Calibri" w:eastAsia="Calibri" w:hAnsi="Calibri" w:cs="Calibri"/>
        <w:color w:val="BDC3C7"/>
        <w:sz w:val="14"/>
        <w:szCs w:val="14"/>
      </w:rPr>
      <w:fldChar w:fldCharType="separate"/>
    </w:r>
    <w:r w:rsidR="001D744A">
      <w:rPr>
        <w:rFonts w:ascii="Calibri" w:eastAsia="Calibri" w:hAnsi="Calibri" w:cs="Calibri"/>
        <w:noProof/>
        <w:color w:val="BDC3C7"/>
        <w:sz w:val="14"/>
        <w:szCs w:val="14"/>
      </w:rPr>
      <w:t>1</w:t>
    </w:r>
    <w:r>
      <w:rPr>
        <w:rFonts w:ascii="Calibri" w:eastAsia="Calibri" w:hAnsi="Calibri" w:cs="Calibri"/>
        <w:color w:val="BDC3C7"/>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14B9D" w14:textId="77777777" w:rsidR="002A282D" w:rsidRDefault="002A282D">
      <w:r>
        <w:separator/>
      </w:r>
    </w:p>
  </w:footnote>
  <w:footnote w:type="continuationSeparator" w:id="0">
    <w:p w14:paraId="6872E702" w14:textId="77777777" w:rsidR="002A282D" w:rsidRDefault="002A2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591DD" w14:textId="77777777" w:rsidR="00E50131" w:rsidRDefault="00000000">
    <w:pPr>
      <w:pBdr>
        <w:bottom w:val="single" w:sz="2" w:space="6" w:color="D5D8DC"/>
      </w:pBdr>
      <w:tabs>
        <w:tab w:val="right" w:pos="9026"/>
      </w:tabs>
    </w:pPr>
    <w:r>
      <w:rPr>
        <w:rFonts w:ascii="Calibri" w:eastAsia="Calibri" w:hAnsi="Calibri" w:cs="Calibri"/>
        <w:b/>
        <w:bCs/>
        <w:color w:val="BDC3C7"/>
        <w:spacing w:val="120"/>
        <w:sz w:val="14"/>
        <w:szCs w:val="14"/>
      </w:rPr>
      <w:t>SOLO STRATEGIST</w:t>
    </w:r>
    <w:r>
      <w:rPr>
        <w:rFonts w:ascii="Calibri" w:eastAsia="Calibri" w:hAnsi="Calibri" w:cs="Calibri"/>
        <w:i/>
        <w:iCs/>
        <w:color w:val="BDC3C7"/>
        <w:sz w:val="14"/>
        <w:szCs w:val="14"/>
      </w:rPr>
      <w:tab/>
      <w:t>Alphabet: The Compounding Intelligence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D1A60"/>
    <w:multiLevelType w:val="hybridMultilevel"/>
    <w:tmpl w:val="12E2A3E2"/>
    <w:lvl w:ilvl="0" w:tplc="8752B7E8">
      <w:start w:val="1"/>
      <w:numFmt w:val="bullet"/>
      <w:lvlText w:val="●"/>
      <w:lvlJc w:val="left"/>
      <w:pPr>
        <w:ind w:left="720" w:hanging="360"/>
      </w:pPr>
    </w:lvl>
    <w:lvl w:ilvl="1" w:tplc="DA5A33EC">
      <w:start w:val="1"/>
      <w:numFmt w:val="bullet"/>
      <w:lvlText w:val="○"/>
      <w:lvlJc w:val="left"/>
      <w:pPr>
        <w:ind w:left="1440" w:hanging="360"/>
      </w:pPr>
    </w:lvl>
    <w:lvl w:ilvl="2" w:tplc="6CE02ABC">
      <w:start w:val="1"/>
      <w:numFmt w:val="bullet"/>
      <w:lvlText w:val="■"/>
      <w:lvlJc w:val="left"/>
      <w:pPr>
        <w:ind w:left="2160" w:hanging="360"/>
      </w:pPr>
    </w:lvl>
    <w:lvl w:ilvl="3" w:tplc="E1FC27E0">
      <w:start w:val="1"/>
      <w:numFmt w:val="bullet"/>
      <w:lvlText w:val="●"/>
      <w:lvlJc w:val="left"/>
      <w:pPr>
        <w:ind w:left="2880" w:hanging="360"/>
      </w:pPr>
    </w:lvl>
    <w:lvl w:ilvl="4" w:tplc="1C428ECA">
      <w:start w:val="1"/>
      <w:numFmt w:val="bullet"/>
      <w:lvlText w:val="○"/>
      <w:lvlJc w:val="left"/>
      <w:pPr>
        <w:ind w:left="3600" w:hanging="360"/>
      </w:pPr>
    </w:lvl>
    <w:lvl w:ilvl="5" w:tplc="3FD65962">
      <w:start w:val="1"/>
      <w:numFmt w:val="bullet"/>
      <w:lvlText w:val="■"/>
      <w:lvlJc w:val="left"/>
      <w:pPr>
        <w:ind w:left="4320" w:hanging="360"/>
      </w:pPr>
    </w:lvl>
    <w:lvl w:ilvl="6" w:tplc="997E148C">
      <w:start w:val="1"/>
      <w:numFmt w:val="bullet"/>
      <w:lvlText w:val="●"/>
      <w:lvlJc w:val="left"/>
      <w:pPr>
        <w:ind w:left="5040" w:hanging="360"/>
      </w:pPr>
    </w:lvl>
    <w:lvl w:ilvl="7" w:tplc="9D94C27E">
      <w:start w:val="1"/>
      <w:numFmt w:val="bullet"/>
      <w:lvlText w:val="●"/>
      <w:lvlJc w:val="left"/>
      <w:pPr>
        <w:ind w:left="5760" w:hanging="360"/>
      </w:pPr>
    </w:lvl>
    <w:lvl w:ilvl="8" w:tplc="17209C86">
      <w:start w:val="1"/>
      <w:numFmt w:val="bullet"/>
      <w:lvlText w:val="●"/>
      <w:lvlJc w:val="left"/>
      <w:pPr>
        <w:ind w:left="6480" w:hanging="360"/>
      </w:pPr>
    </w:lvl>
  </w:abstractNum>
  <w:num w:numId="1" w16cid:durableId="645936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131"/>
    <w:rsid w:val="000B2E1E"/>
    <w:rsid w:val="001D744A"/>
    <w:rsid w:val="002A282D"/>
    <w:rsid w:val="0031294F"/>
    <w:rsid w:val="007C22DE"/>
    <w:rsid w:val="0089626D"/>
    <w:rsid w:val="00965CA4"/>
    <w:rsid w:val="00BB41B6"/>
    <w:rsid w:val="00D81E25"/>
    <w:rsid w:val="00E50131"/>
    <w:rsid w:val="00E91F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DF59700"/>
  <w15:docId w15:val="{97DA6666-AE66-B74B-A4D9-7612C9E56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4495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81E25"/>
    <w:pPr>
      <w:tabs>
        <w:tab w:val="center" w:pos="4513"/>
        <w:tab w:val="right" w:pos="9026"/>
      </w:tabs>
    </w:pPr>
  </w:style>
  <w:style w:type="character" w:customStyle="1" w:styleId="HeaderChar">
    <w:name w:val="Header Char"/>
    <w:basedOn w:val="DefaultParagraphFont"/>
    <w:link w:val="Header"/>
    <w:uiPriority w:val="99"/>
    <w:rsid w:val="00D81E25"/>
  </w:style>
  <w:style w:type="paragraph" w:styleId="Footer">
    <w:name w:val="footer"/>
    <w:basedOn w:val="Normal"/>
    <w:link w:val="FooterChar"/>
    <w:uiPriority w:val="99"/>
    <w:unhideWhenUsed/>
    <w:rsid w:val="00D81E25"/>
    <w:pPr>
      <w:tabs>
        <w:tab w:val="center" w:pos="4513"/>
        <w:tab w:val="right" w:pos="9026"/>
      </w:tabs>
    </w:pPr>
  </w:style>
  <w:style w:type="character" w:customStyle="1" w:styleId="FooterChar">
    <w:name w:val="Footer Char"/>
    <w:basedOn w:val="DefaultParagraphFont"/>
    <w:link w:val="Footer"/>
    <w:uiPriority w:val="99"/>
    <w:rsid w:val="00D8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3037</Words>
  <Characters>17313</Characters>
  <Application>Microsoft Office Word</Application>
  <DocSecurity>0</DocSecurity>
  <Lines>144</Lines>
  <Paragraphs>40</Paragraphs>
  <ScaleCrop>false</ScaleCrop>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Dean Mahmood</cp:lastModifiedBy>
  <cp:revision>2</cp:revision>
  <dcterms:created xsi:type="dcterms:W3CDTF">2026-02-17T17:07:00Z</dcterms:created>
  <dcterms:modified xsi:type="dcterms:W3CDTF">2026-02-17T17:07:00Z</dcterms:modified>
</cp:coreProperties>
</file>