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A031B" w14:textId="77777777" w:rsidR="00F97E19" w:rsidRPr="009A074D" w:rsidRDefault="009A074D" w:rsidP="00B95931">
      <w:pPr>
        <w:rPr>
          <w:b/>
          <w:sz w:val="32"/>
          <w:szCs w:val="32"/>
        </w:rPr>
      </w:pPr>
      <w:r>
        <w:rPr>
          <w:b/>
          <w:sz w:val="32"/>
          <w:szCs w:val="32"/>
        </w:rPr>
        <w:t>Risk Factors</w:t>
      </w:r>
    </w:p>
    <w:p w14:paraId="72B5D9E1" w14:textId="77777777" w:rsidR="00B95931" w:rsidRDefault="00B95931" w:rsidP="00B95931">
      <w:r w:rsidRPr="00B95931">
        <w:rPr>
          <w:b/>
        </w:rPr>
        <w:t>Disclosure of material risks</w:t>
      </w:r>
      <w:r>
        <w:t xml:space="preserve"> </w:t>
      </w:r>
    </w:p>
    <w:p w14:paraId="457479FC" w14:textId="03AD5D2D" w:rsidR="00B95931" w:rsidRDefault="00BC08AA" w:rsidP="00B95931">
      <w:proofErr w:type="gramStart"/>
      <w:r>
        <w:t>In connection with</w:t>
      </w:r>
      <w:proofErr w:type="gramEnd"/>
      <w:r>
        <w:t xml:space="preserve"> the private RHOC sale,</w:t>
      </w:r>
      <w:r w:rsidR="0061181D">
        <w:t xml:space="preserve"> before beginning</w:t>
      </w:r>
      <w:r w:rsidR="00B95931">
        <w:t xml:space="preserve"> an initial transaction for, on behalf of, or with such </w:t>
      </w:r>
      <w:r>
        <w:t>participant</w:t>
      </w:r>
      <w:r w:rsidR="00B95931">
        <w:t xml:space="preserve">, </w:t>
      </w:r>
      <w:proofErr w:type="spellStart"/>
      <w:r>
        <w:t>RChain</w:t>
      </w:r>
      <w:proofErr w:type="spellEnd"/>
      <w:r>
        <w:t xml:space="preserve"> Cooperative</w:t>
      </w:r>
      <w:r w:rsidR="0061181D">
        <w:t xml:space="preserve"> must disclose the</w:t>
      </w:r>
      <w:r w:rsidR="00B95931">
        <w:t xml:space="preserve"> material risks associated with its products, services, and activities and </w:t>
      </w:r>
      <w:r w:rsidR="0061181D">
        <w:t>RHOC</w:t>
      </w:r>
      <w:r w:rsidR="00B95931">
        <w:t xml:space="preserve"> generally, including at a minimum, the following: </w:t>
      </w:r>
    </w:p>
    <w:p w14:paraId="20788C18" w14:textId="77777777" w:rsidR="00B95931" w:rsidRDefault="0061181D" w:rsidP="00B95931">
      <w:pPr>
        <w:pStyle w:val="ListParagraph"/>
        <w:numPr>
          <w:ilvl w:val="0"/>
          <w:numId w:val="3"/>
        </w:numPr>
      </w:pPr>
      <w:r>
        <w:t>RHOC</w:t>
      </w:r>
      <w:r w:rsidR="00B95931">
        <w:t xml:space="preserve"> is not legal tender, is not backed by the government, and accounts and value balances are not subject to Federal Deposit Insurance Corporation; </w:t>
      </w:r>
    </w:p>
    <w:p w14:paraId="4BA33C80" w14:textId="77777777" w:rsidR="00B95931" w:rsidRDefault="00B95931" w:rsidP="00B95931">
      <w:pPr>
        <w:pStyle w:val="ListParagraph"/>
        <w:numPr>
          <w:ilvl w:val="0"/>
          <w:numId w:val="3"/>
        </w:numPr>
      </w:pPr>
      <w:r>
        <w:t xml:space="preserve">legislative and regulatory changes or actions at the state, federal, or international level may adversely affect the use, transfer, exchange, and value of </w:t>
      </w:r>
      <w:r w:rsidR="0061181D">
        <w:t>RHOC</w:t>
      </w:r>
      <w:r>
        <w:t xml:space="preserve">; </w:t>
      </w:r>
    </w:p>
    <w:p w14:paraId="5054D4CA" w14:textId="77777777" w:rsidR="00B95931" w:rsidRDefault="00B95931" w:rsidP="00B95931">
      <w:pPr>
        <w:pStyle w:val="ListParagraph"/>
        <w:numPr>
          <w:ilvl w:val="0"/>
          <w:numId w:val="3"/>
        </w:numPr>
      </w:pPr>
      <w:r>
        <w:t xml:space="preserve">transactions in </w:t>
      </w:r>
      <w:r w:rsidR="0061181D">
        <w:t>RHOC</w:t>
      </w:r>
      <w:r>
        <w:t xml:space="preserve"> may be irreversible, and, accordingly, losses due to fraudulent or accidental transactions may not be recoverable; </w:t>
      </w:r>
    </w:p>
    <w:p w14:paraId="61741E80" w14:textId="6E06E40F" w:rsidR="00B95931" w:rsidRDefault="00B95931" w:rsidP="00B95931">
      <w:pPr>
        <w:pStyle w:val="ListParagraph"/>
        <w:numPr>
          <w:ilvl w:val="0"/>
          <w:numId w:val="3"/>
        </w:numPr>
      </w:pPr>
      <w:r>
        <w:t xml:space="preserve">some </w:t>
      </w:r>
      <w:r w:rsidR="0061181D">
        <w:t>RHOC</w:t>
      </w:r>
      <w:r w:rsidR="009A074D">
        <w:t xml:space="preserve"> transactions will</w:t>
      </w:r>
      <w:r>
        <w:t xml:space="preserve"> be deemed to be made when recorded on a public ledger, which is not necessarily the date or time that the </w:t>
      </w:r>
      <w:r w:rsidR="00CA13B7">
        <w:t>participant</w:t>
      </w:r>
      <w:r>
        <w:t xml:space="preserve"> initiates the transaction; </w:t>
      </w:r>
    </w:p>
    <w:p w14:paraId="3EC2FB87" w14:textId="77777777" w:rsidR="00B95931" w:rsidRDefault="00B95931" w:rsidP="00B95931">
      <w:pPr>
        <w:pStyle w:val="ListParagraph"/>
        <w:numPr>
          <w:ilvl w:val="0"/>
          <w:numId w:val="3"/>
        </w:numPr>
      </w:pPr>
      <w:r>
        <w:t xml:space="preserve">the value of </w:t>
      </w:r>
      <w:r w:rsidR="0061181D">
        <w:t>RHOC</w:t>
      </w:r>
      <w:r>
        <w:t xml:space="preserve"> may be derived from the continued willingness of market participants to exchange Fiat Currency for </w:t>
      </w:r>
      <w:r w:rsidR="0061181D">
        <w:t>RHOC</w:t>
      </w:r>
      <w:r>
        <w:t xml:space="preserve">, which may result in the potential for permanent and total loss of value of a </w:t>
      </w:r>
      <w:proofErr w:type="gramStart"/>
      <w:r>
        <w:t xml:space="preserve">particular </w:t>
      </w:r>
      <w:r w:rsidR="0061181D">
        <w:t>RHOC</w:t>
      </w:r>
      <w:proofErr w:type="gramEnd"/>
      <w:r>
        <w:t xml:space="preserve"> should the market for that </w:t>
      </w:r>
      <w:r w:rsidR="0061181D">
        <w:t>RHOC</w:t>
      </w:r>
      <w:r>
        <w:t xml:space="preserve"> disappear; </w:t>
      </w:r>
    </w:p>
    <w:p w14:paraId="59383A84" w14:textId="77777777" w:rsidR="00B95931" w:rsidRDefault="009A074D" w:rsidP="00B95931">
      <w:pPr>
        <w:pStyle w:val="ListParagraph"/>
        <w:numPr>
          <w:ilvl w:val="0"/>
          <w:numId w:val="3"/>
        </w:numPr>
      </w:pPr>
      <w:r>
        <w:t>there is no assurance that a p</w:t>
      </w:r>
      <w:r w:rsidR="00B95931">
        <w:t xml:space="preserve">erson who accepts a </w:t>
      </w:r>
      <w:r w:rsidR="0061181D">
        <w:t>RHOC</w:t>
      </w:r>
      <w:r w:rsidR="00B95931">
        <w:t xml:space="preserve"> as payment today will continue to do so in the future; </w:t>
      </w:r>
    </w:p>
    <w:p w14:paraId="5D29B6F0" w14:textId="77777777" w:rsidR="00B95931" w:rsidRDefault="00B95931" w:rsidP="00B95931">
      <w:pPr>
        <w:pStyle w:val="ListParagraph"/>
        <w:numPr>
          <w:ilvl w:val="0"/>
          <w:numId w:val="3"/>
        </w:numPr>
      </w:pPr>
      <w:r>
        <w:t>the volatility a</w:t>
      </w:r>
      <w:r w:rsidR="009A074D">
        <w:t>nd unpredictability of the exchange rate</w:t>
      </w:r>
      <w:r>
        <w:t xml:space="preserve"> of </w:t>
      </w:r>
      <w:r w:rsidR="0061181D">
        <w:t>RHOC</w:t>
      </w:r>
      <w:r>
        <w:t xml:space="preserve"> relative to Fiat Currency may result in significant loss over a short period of time; </w:t>
      </w:r>
    </w:p>
    <w:p w14:paraId="245BFEFD" w14:textId="77777777" w:rsidR="00B95931" w:rsidRDefault="00B95931" w:rsidP="00B95931">
      <w:pPr>
        <w:pStyle w:val="ListParagraph"/>
        <w:numPr>
          <w:ilvl w:val="0"/>
          <w:numId w:val="3"/>
        </w:numPr>
      </w:pPr>
      <w:r>
        <w:t xml:space="preserve">the nature of </w:t>
      </w:r>
      <w:r w:rsidR="0061181D">
        <w:t>RHOC</w:t>
      </w:r>
      <w:r>
        <w:t xml:space="preserve"> may lead to an increased r</w:t>
      </w:r>
      <w:r w:rsidR="009A074D">
        <w:t>isk of fraud or cyber-</w:t>
      </w:r>
      <w:r>
        <w:t xml:space="preserve">attack;  </w:t>
      </w:r>
    </w:p>
    <w:p w14:paraId="7851F5AA" w14:textId="466B1A93" w:rsidR="00B95931" w:rsidRDefault="00B95931" w:rsidP="00B95931">
      <w:pPr>
        <w:pStyle w:val="ListParagraph"/>
        <w:numPr>
          <w:ilvl w:val="0"/>
          <w:numId w:val="3"/>
        </w:numPr>
      </w:pPr>
      <w:r>
        <w:t xml:space="preserve">the nature of </w:t>
      </w:r>
      <w:r w:rsidR="0061181D">
        <w:t>RHOC</w:t>
      </w:r>
      <w:r>
        <w:t xml:space="preserve"> means that any technological difficulties experienced by the </w:t>
      </w:r>
      <w:r w:rsidR="009A074D">
        <w:t>Member</w:t>
      </w:r>
      <w:r>
        <w:t xml:space="preserve"> may prevent the access or use of a </w:t>
      </w:r>
      <w:r w:rsidR="00CA13B7">
        <w:t>participant</w:t>
      </w:r>
      <w:r>
        <w:t xml:space="preserve">’s </w:t>
      </w:r>
      <w:r w:rsidR="0061181D">
        <w:t>RHOC</w:t>
      </w:r>
      <w:r>
        <w:t xml:space="preserve">; and </w:t>
      </w:r>
    </w:p>
    <w:p w14:paraId="73FA1A13" w14:textId="77777777" w:rsidR="0061181D" w:rsidRDefault="00B95931" w:rsidP="00B95931">
      <w:r w:rsidRPr="0061181D">
        <w:rPr>
          <w:b/>
        </w:rPr>
        <w:t>Disclosure of general terms and conditions</w:t>
      </w:r>
      <w:r>
        <w:t xml:space="preserve">  </w:t>
      </w:r>
    </w:p>
    <w:p w14:paraId="5CC735D3" w14:textId="38F61570" w:rsidR="00B95931" w:rsidRDefault="00C406EF" w:rsidP="00B95931">
      <w:proofErr w:type="gramStart"/>
      <w:r>
        <w:t>In connection with</w:t>
      </w:r>
      <w:proofErr w:type="gramEnd"/>
      <w:r>
        <w:t xml:space="preserve"> the private RHOC sale, before beginning an initial transaction for, on behalf of, or with such participant, </w:t>
      </w:r>
      <w:proofErr w:type="spellStart"/>
      <w:r>
        <w:t>RChain</w:t>
      </w:r>
      <w:proofErr w:type="spellEnd"/>
      <w:r>
        <w:t xml:space="preserve"> Cooperative must disclose the material risks associated with its products, services, and activities and RHOC generally, including at a minimum, the following: </w:t>
      </w:r>
      <w:r w:rsidR="00B95931">
        <w:t xml:space="preserve"> </w:t>
      </w:r>
    </w:p>
    <w:p w14:paraId="6168C148" w14:textId="76171D3B" w:rsidR="00B95931" w:rsidRDefault="00B95931" w:rsidP="00B95931">
      <w:pPr>
        <w:pStyle w:val="ListParagraph"/>
        <w:numPr>
          <w:ilvl w:val="0"/>
          <w:numId w:val="4"/>
        </w:numPr>
      </w:pPr>
      <w:r>
        <w:t xml:space="preserve">the </w:t>
      </w:r>
      <w:r w:rsidR="00CA13B7">
        <w:t>participant</w:t>
      </w:r>
      <w:r>
        <w:t xml:space="preserve">’s liability for unauthorized </w:t>
      </w:r>
      <w:r w:rsidR="0061181D">
        <w:t>RHOC</w:t>
      </w:r>
      <w:r>
        <w:t xml:space="preserve"> transactions; </w:t>
      </w:r>
    </w:p>
    <w:p w14:paraId="0ACBDB00" w14:textId="1AC9A7C2" w:rsidR="00B95931" w:rsidRDefault="00B95931" w:rsidP="00B95931">
      <w:pPr>
        <w:pStyle w:val="ListParagraph"/>
        <w:numPr>
          <w:ilvl w:val="0"/>
          <w:numId w:val="4"/>
        </w:numPr>
      </w:pPr>
      <w:commentRangeStart w:id="0"/>
      <w:r>
        <w:t xml:space="preserve">the </w:t>
      </w:r>
      <w:r w:rsidR="00CA13B7">
        <w:t>participant</w:t>
      </w:r>
      <w:r>
        <w:t xml:space="preserve">’s right to stop payment of a preauthorized </w:t>
      </w:r>
      <w:r w:rsidR="0061181D">
        <w:t>RHOC</w:t>
      </w:r>
      <w:r>
        <w:t xml:space="preserve"> transfer and the procedure to initiate such a stop-payment order</w:t>
      </w:r>
      <w:commentRangeEnd w:id="0"/>
      <w:r w:rsidR="00645217">
        <w:rPr>
          <w:rStyle w:val="CommentReference"/>
        </w:rPr>
        <w:commentReference w:id="0"/>
      </w:r>
      <w:r>
        <w:t xml:space="preserve">; </w:t>
      </w:r>
    </w:p>
    <w:p w14:paraId="499D3B6F" w14:textId="34BCF064" w:rsidR="00B95931" w:rsidRDefault="00B95931" w:rsidP="00B95931">
      <w:pPr>
        <w:pStyle w:val="ListParagraph"/>
        <w:numPr>
          <w:ilvl w:val="0"/>
          <w:numId w:val="4"/>
        </w:numPr>
      </w:pPr>
      <w:r>
        <w:t xml:space="preserve">under what circumstances the </w:t>
      </w:r>
      <w:r w:rsidR="009A074D">
        <w:t>Member</w:t>
      </w:r>
      <w:r w:rsidR="00645217">
        <w:t xml:space="preserve">s or </w:t>
      </w:r>
      <w:proofErr w:type="spellStart"/>
      <w:r w:rsidR="00645217">
        <w:t>RChain</w:t>
      </w:r>
      <w:proofErr w:type="spellEnd"/>
      <w:r w:rsidR="00645217">
        <w:t xml:space="preserve"> Board</w:t>
      </w:r>
      <w:r>
        <w:t xml:space="preserve"> will, absent a court or government order, disclose information concerning the </w:t>
      </w:r>
      <w:r w:rsidR="00CA13B7">
        <w:t>participant</w:t>
      </w:r>
      <w:r>
        <w:t xml:space="preserve">’s account to third parties; </w:t>
      </w:r>
    </w:p>
    <w:p w14:paraId="2FFDE026" w14:textId="5E22F19B" w:rsidR="00B95931" w:rsidRDefault="00B95931" w:rsidP="00B95931">
      <w:pPr>
        <w:pStyle w:val="ListParagraph"/>
        <w:numPr>
          <w:ilvl w:val="0"/>
          <w:numId w:val="4"/>
        </w:numPr>
      </w:pPr>
      <w:r>
        <w:t xml:space="preserve">the </w:t>
      </w:r>
      <w:r w:rsidR="00CA13B7">
        <w:t>participant</w:t>
      </w:r>
      <w:r>
        <w:t xml:space="preserve">’s right to receive periodic account statements and valuations from the </w:t>
      </w:r>
      <w:proofErr w:type="spellStart"/>
      <w:r w:rsidR="00C15AA9">
        <w:t>RChain</w:t>
      </w:r>
      <w:proofErr w:type="spellEnd"/>
      <w:r w:rsidR="00C15AA9">
        <w:t xml:space="preserve"> Cooperative</w:t>
      </w:r>
      <w:r>
        <w:t xml:space="preserve">; </w:t>
      </w:r>
    </w:p>
    <w:p w14:paraId="398CEEF1" w14:textId="6A187C11" w:rsidR="00B95931" w:rsidRDefault="00B95931" w:rsidP="00B95931">
      <w:pPr>
        <w:pStyle w:val="ListParagraph"/>
        <w:numPr>
          <w:ilvl w:val="0"/>
          <w:numId w:val="4"/>
        </w:numPr>
      </w:pPr>
      <w:r>
        <w:t xml:space="preserve">the </w:t>
      </w:r>
      <w:r w:rsidR="00CA13B7">
        <w:t>participant</w:t>
      </w:r>
      <w:r>
        <w:t xml:space="preserve">’s right to receive a receipt, trade ticket, or other evidence of a transaction;  </w:t>
      </w:r>
    </w:p>
    <w:p w14:paraId="6EB764EC" w14:textId="67885563" w:rsidR="00B95931" w:rsidRDefault="00B95931" w:rsidP="00B95931">
      <w:pPr>
        <w:pStyle w:val="ListParagraph"/>
        <w:numPr>
          <w:ilvl w:val="0"/>
          <w:numId w:val="4"/>
        </w:numPr>
      </w:pPr>
      <w:r>
        <w:lastRenderedPageBreak/>
        <w:t xml:space="preserve">the </w:t>
      </w:r>
      <w:r w:rsidR="00CA13B7">
        <w:t>participant</w:t>
      </w:r>
      <w:r>
        <w:t xml:space="preserve">’s right to prior notice of a change in the </w:t>
      </w:r>
      <w:proofErr w:type="spellStart"/>
      <w:r w:rsidR="00C15AA9">
        <w:t>RChain</w:t>
      </w:r>
      <w:proofErr w:type="spellEnd"/>
      <w:r w:rsidR="00C15AA9">
        <w:t xml:space="preserve"> Cooperative</w:t>
      </w:r>
      <w:r>
        <w:t xml:space="preserve"> rules or policies; and </w:t>
      </w:r>
    </w:p>
    <w:p w14:paraId="0CA7959E" w14:textId="740D4976" w:rsidR="00B95931" w:rsidRDefault="00B95931" w:rsidP="00B95931">
      <w:pPr>
        <w:pStyle w:val="ListParagraph"/>
        <w:numPr>
          <w:ilvl w:val="0"/>
          <w:numId w:val="4"/>
        </w:numPr>
      </w:pPr>
      <w:r>
        <w:t xml:space="preserve">such other disclosures as are customarily given </w:t>
      </w:r>
      <w:proofErr w:type="gramStart"/>
      <w:r>
        <w:t>in connection with</w:t>
      </w:r>
      <w:proofErr w:type="gramEnd"/>
      <w:r>
        <w:t xml:space="preserve"> the </w:t>
      </w:r>
      <w:r w:rsidR="004D39BE">
        <w:t>sale of assets</w:t>
      </w:r>
      <w:r>
        <w:t xml:space="preserve">. </w:t>
      </w:r>
    </w:p>
    <w:p w14:paraId="142386D3" w14:textId="77777777" w:rsidR="004237C9" w:rsidRDefault="00B95931" w:rsidP="00B95931">
      <w:r w:rsidRPr="004237C9">
        <w:rPr>
          <w:b/>
        </w:rPr>
        <w:t>Disclosures of the terms of transactions</w:t>
      </w:r>
      <w:r>
        <w:t xml:space="preserve">  </w:t>
      </w:r>
    </w:p>
    <w:p w14:paraId="2711B4ED" w14:textId="77777777" w:rsidR="004D39BE" w:rsidRDefault="004D39BE" w:rsidP="004D39BE">
      <w:proofErr w:type="gramStart"/>
      <w:r>
        <w:t>In connection with</w:t>
      </w:r>
      <w:proofErr w:type="gramEnd"/>
      <w:r>
        <w:t xml:space="preserve"> the private RHOC sale, before beginning an initial transaction for, on behalf of, or with such participant, </w:t>
      </w:r>
      <w:proofErr w:type="spellStart"/>
      <w:r>
        <w:t>RChain</w:t>
      </w:r>
      <w:proofErr w:type="spellEnd"/>
      <w:r>
        <w:t xml:space="preserve"> Cooperative must disclose the material risks associated with its products, services, and activities and RHOC generally, including at a minimum, the following:  </w:t>
      </w:r>
    </w:p>
    <w:p w14:paraId="10DF3289" w14:textId="77777777" w:rsidR="00B95931" w:rsidRDefault="00B95931" w:rsidP="00B95931">
      <w:pPr>
        <w:pStyle w:val="ListParagraph"/>
        <w:numPr>
          <w:ilvl w:val="0"/>
          <w:numId w:val="5"/>
        </w:numPr>
      </w:pPr>
      <w:r>
        <w:t xml:space="preserve">the amount of the transaction; </w:t>
      </w:r>
    </w:p>
    <w:p w14:paraId="5DA2725B" w14:textId="35E3E3D0" w:rsidR="00B95931" w:rsidRDefault="00B95931" w:rsidP="00B95931">
      <w:pPr>
        <w:pStyle w:val="ListParagraph"/>
        <w:numPr>
          <w:ilvl w:val="0"/>
          <w:numId w:val="5"/>
        </w:numPr>
      </w:pPr>
      <w:r>
        <w:t xml:space="preserve">any fees, expenses, and charges borne by the </w:t>
      </w:r>
      <w:r w:rsidR="00CA13B7">
        <w:t>participant</w:t>
      </w:r>
      <w:r>
        <w:t xml:space="preserve">, including applicable exchange rates; </w:t>
      </w:r>
    </w:p>
    <w:p w14:paraId="3C09FCED" w14:textId="77777777" w:rsidR="00B95931" w:rsidRDefault="00B95931" w:rsidP="00B95931">
      <w:pPr>
        <w:pStyle w:val="ListParagraph"/>
        <w:numPr>
          <w:ilvl w:val="0"/>
          <w:numId w:val="5"/>
        </w:numPr>
      </w:pPr>
      <w:r>
        <w:t xml:space="preserve">the type and nature of the </w:t>
      </w:r>
      <w:r w:rsidR="0061181D">
        <w:t>RHOC</w:t>
      </w:r>
      <w:r>
        <w:t xml:space="preserve"> transaction; </w:t>
      </w:r>
    </w:p>
    <w:p w14:paraId="6638F134" w14:textId="77777777" w:rsidR="00B95931" w:rsidRDefault="00B95931" w:rsidP="00B95931">
      <w:pPr>
        <w:pStyle w:val="ListParagraph"/>
        <w:numPr>
          <w:ilvl w:val="0"/>
          <w:numId w:val="5"/>
        </w:numPr>
      </w:pPr>
      <w:r>
        <w:t xml:space="preserve">a warning that once executed the transaction may not be undone, if applicable; and </w:t>
      </w:r>
    </w:p>
    <w:p w14:paraId="318A4151" w14:textId="77777777" w:rsidR="00B95931" w:rsidRDefault="009A074D" w:rsidP="00B95931">
      <w:pPr>
        <w:pStyle w:val="ListParagraph"/>
        <w:numPr>
          <w:ilvl w:val="0"/>
          <w:numId w:val="5"/>
        </w:numPr>
      </w:pPr>
      <w:r>
        <w:t>other disclosures that</w:t>
      </w:r>
      <w:r w:rsidR="00B95931">
        <w:t xml:space="preserve"> are customarily given </w:t>
      </w:r>
      <w:proofErr w:type="gramStart"/>
      <w:r w:rsidR="00B95931">
        <w:t>in connection with</w:t>
      </w:r>
      <w:proofErr w:type="gramEnd"/>
      <w:r w:rsidR="00B95931">
        <w:t xml:space="preserve"> a transaction of this nature. </w:t>
      </w:r>
    </w:p>
    <w:p w14:paraId="1FF889B5" w14:textId="77777777" w:rsidR="004237C9" w:rsidRDefault="004237C9" w:rsidP="00B95931">
      <w:pPr>
        <w:rPr>
          <w:b/>
        </w:rPr>
      </w:pPr>
      <w:r>
        <w:rPr>
          <w:b/>
        </w:rPr>
        <w:t>Acknowledgement of disclosures</w:t>
      </w:r>
    </w:p>
    <w:p w14:paraId="1CC7B0F5" w14:textId="7A49BD0A" w:rsidR="00B95931" w:rsidRDefault="002C73E2" w:rsidP="00B95931">
      <w:r>
        <w:t xml:space="preserve">The </w:t>
      </w:r>
      <w:proofErr w:type="spellStart"/>
      <w:r>
        <w:t>RChain</w:t>
      </w:r>
      <w:proofErr w:type="spellEnd"/>
      <w:r>
        <w:t xml:space="preserve"> Cooperative</w:t>
      </w:r>
      <w:r w:rsidR="009A074D">
        <w:t xml:space="preserve"> must</w:t>
      </w:r>
      <w:r w:rsidR="00B95931">
        <w:t xml:space="preserve"> ensure that all disclosures required in this Section are acknowledged as received by </w:t>
      </w:r>
      <w:r w:rsidR="00CA13B7">
        <w:t>participant</w:t>
      </w:r>
      <w:r w:rsidR="00B95931">
        <w:t xml:space="preserve">s.   </w:t>
      </w:r>
    </w:p>
    <w:p w14:paraId="33DC766E" w14:textId="77777777" w:rsidR="004237C9" w:rsidRDefault="004237C9" w:rsidP="00B95931">
      <w:r w:rsidRPr="004237C9">
        <w:rPr>
          <w:b/>
        </w:rPr>
        <w:t>Receipts</w:t>
      </w:r>
      <w:r w:rsidR="00B95931">
        <w:t xml:space="preserve">  </w:t>
      </w:r>
    </w:p>
    <w:p w14:paraId="2BB8221E" w14:textId="60926DED" w:rsidR="00B95931" w:rsidRDefault="00B95931" w:rsidP="00B95931">
      <w:r>
        <w:t xml:space="preserve">Upon completion of any transaction, </w:t>
      </w:r>
      <w:r w:rsidR="002C73E2">
        <w:t xml:space="preserve">the </w:t>
      </w:r>
      <w:proofErr w:type="spellStart"/>
      <w:r w:rsidR="002C73E2">
        <w:t>RChain</w:t>
      </w:r>
      <w:proofErr w:type="spellEnd"/>
      <w:r w:rsidR="002C73E2">
        <w:t xml:space="preserve"> Cooperative </w:t>
      </w:r>
      <w:r>
        <w:t xml:space="preserve">shall provide to a </w:t>
      </w:r>
      <w:r w:rsidR="00CA13B7">
        <w:t>participant</w:t>
      </w:r>
      <w:r>
        <w:t xml:space="preserve"> a receipt containing the following information: </w:t>
      </w:r>
    </w:p>
    <w:p w14:paraId="5201AFAA" w14:textId="39251389" w:rsidR="00B95931" w:rsidRDefault="00B95931" w:rsidP="00B95931">
      <w:pPr>
        <w:pStyle w:val="ListParagraph"/>
        <w:numPr>
          <w:ilvl w:val="0"/>
          <w:numId w:val="6"/>
        </w:numPr>
      </w:pPr>
      <w:r>
        <w:t xml:space="preserve">the name and contact information of the </w:t>
      </w:r>
      <w:proofErr w:type="spellStart"/>
      <w:r w:rsidR="002C73E2" w:rsidRPr="002C73E2">
        <w:rPr>
          <w:highlight w:val="yellow"/>
        </w:rPr>
        <w:t>RChain</w:t>
      </w:r>
      <w:proofErr w:type="spellEnd"/>
      <w:r w:rsidR="002C73E2" w:rsidRPr="002C73E2">
        <w:rPr>
          <w:highlight w:val="yellow"/>
        </w:rPr>
        <w:t xml:space="preserve"> Cooperative RHOC sale contact</w:t>
      </w:r>
      <w:r>
        <w:t>, including a tele</w:t>
      </w:r>
      <w:r w:rsidR="002C73E2">
        <w:t xml:space="preserve">phone number established by the </w:t>
      </w:r>
      <w:proofErr w:type="spellStart"/>
      <w:r w:rsidR="002C73E2">
        <w:t>RChain</w:t>
      </w:r>
      <w:proofErr w:type="spellEnd"/>
      <w:r w:rsidR="002C73E2">
        <w:t xml:space="preserve"> Cooperative </w:t>
      </w:r>
      <w:r>
        <w:t xml:space="preserve">to answer questions and register complaints;  </w:t>
      </w:r>
    </w:p>
    <w:p w14:paraId="25BCF3A3" w14:textId="77777777" w:rsidR="00B95931" w:rsidRDefault="00B95931" w:rsidP="00B95931">
      <w:pPr>
        <w:pStyle w:val="ListParagraph"/>
        <w:numPr>
          <w:ilvl w:val="0"/>
          <w:numId w:val="6"/>
        </w:numPr>
      </w:pPr>
      <w:r>
        <w:t xml:space="preserve">the type, value, date, and precise time of the transaction;  </w:t>
      </w:r>
    </w:p>
    <w:p w14:paraId="5CDB76C0" w14:textId="77777777" w:rsidR="00B95931" w:rsidRDefault="00B95931" w:rsidP="00B95931">
      <w:pPr>
        <w:pStyle w:val="ListParagraph"/>
        <w:numPr>
          <w:ilvl w:val="0"/>
          <w:numId w:val="6"/>
        </w:numPr>
      </w:pPr>
      <w:r>
        <w:t xml:space="preserve">the fee charged;  </w:t>
      </w:r>
    </w:p>
    <w:p w14:paraId="6A6788FA" w14:textId="77777777" w:rsidR="00B95931" w:rsidRDefault="00B95931" w:rsidP="00B95931">
      <w:pPr>
        <w:pStyle w:val="ListParagraph"/>
        <w:numPr>
          <w:ilvl w:val="0"/>
          <w:numId w:val="6"/>
        </w:numPr>
      </w:pPr>
      <w:r>
        <w:t xml:space="preserve">the exchange rate, if applicable; </w:t>
      </w:r>
    </w:p>
    <w:p w14:paraId="20FEC7DF" w14:textId="77777777" w:rsidR="00B95931" w:rsidRDefault="00B95931" w:rsidP="00B95931">
      <w:pPr>
        <w:pStyle w:val="ListParagraph"/>
        <w:numPr>
          <w:ilvl w:val="0"/>
          <w:numId w:val="6"/>
        </w:numPr>
      </w:pPr>
      <w:r>
        <w:t xml:space="preserve">a statement of the liability of the </w:t>
      </w:r>
      <w:r w:rsidR="009A074D">
        <w:t>Member</w:t>
      </w:r>
      <w:r>
        <w:t xml:space="preserve"> for non-delivery or delayed delivery;  </w:t>
      </w:r>
    </w:p>
    <w:p w14:paraId="694682D0" w14:textId="77777777" w:rsidR="00B95931" w:rsidRDefault="00B95931" w:rsidP="00B95931">
      <w:pPr>
        <w:pStyle w:val="ListParagraph"/>
        <w:numPr>
          <w:ilvl w:val="0"/>
          <w:numId w:val="6"/>
        </w:numPr>
      </w:pPr>
      <w:r>
        <w:t xml:space="preserve">a statement of the refund policy of the </w:t>
      </w:r>
      <w:r w:rsidR="009A074D">
        <w:t>Member</w:t>
      </w:r>
      <w:r>
        <w:t xml:space="preserve">; and </w:t>
      </w:r>
    </w:p>
    <w:p w14:paraId="5115465E" w14:textId="77777777" w:rsidR="00B95931" w:rsidRDefault="00B95931" w:rsidP="00B95931">
      <w:pPr>
        <w:pStyle w:val="ListParagraph"/>
        <w:numPr>
          <w:ilvl w:val="0"/>
          <w:numId w:val="6"/>
        </w:numPr>
      </w:pPr>
      <w:r>
        <w:t>any additional</w:t>
      </w:r>
      <w:r w:rsidR="009A074D">
        <w:t xml:space="preserve"> information that may be required</w:t>
      </w:r>
      <w:r>
        <w:t xml:space="preserve">. </w:t>
      </w:r>
    </w:p>
    <w:p w14:paraId="38397810" w14:textId="55F11C6A" w:rsidR="00B95931" w:rsidRDefault="002C73E2" w:rsidP="00B95931">
      <w:proofErr w:type="spellStart"/>
      <w:r>
        <w:t>RChain</w:t>
      </w:r>
      <w:proofErr w:type="spellEnd"/>
      <w:r>
        <w:t xml:space="preserve"> Cooperative </w:t>
      </w:r>
      <w:bookmarkStart w:id="1" w:name="_GoBack"/>
      <w:bookmarkEnd w:id="1"/>
      <w:commentRangeStart w:id="2"/>
      <w:commentRangeStart w:id="3"/>
      <w:r w:rsidR="009A074D">
        <w:t>must</w:t>
      </w:r>
      <w:r w:rsidR="00B95931">
        <w:t xml:space="preserve"> </w:t>
      </w:r>
      <w:r w:rsidR="009A074D">
        <w:t>make available</w:t>
      </w:r>
      <w:r w:rsidR="00B95931">
        <w:t xml:space="preserve">, upon request, the form of the receipts it is required to provide to </w:t>
      </w:r>
      <w:r w:rsidR="00CA13B7">
        <w:t>participant</w:t>
      </w:r>
      <w:r w:rsidR="00B95931">
        <w:t xml:space="preserve">s in accordance with </w:t>
      </w:r>
      <w:r w:rsidR="004237C9">
        <w:t>these guidelines</w:t>
      </w:r>
      <w:commentRangeEnd w:id="2"/>
      <w:r w:rsidR="004237C9"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r w:rsidR="004237C9">
        <w:t>.</w:t>
      </w:r>
      <w:r w:rsidR="00B95931">
        <w:t xml:space="preserve"> </w:t>
      </w:r>
    </w:p>
    <w:p w14:paraId="0FBFD794" w14:textId="77777777" w:rsidR="004237C9" w:rsidRDefault="00B95931" w:rsidP="00B95931">
      <w:r w:rsidRPr="004237C9">
        <w:rPr>
          <w:b/>
        </w:rPr>
        <w:t>Prevention of fraud</w:t>
      </w:r>
    </w:p>
    <w:p w14:paraId="4DBE1378" w14:textId="77777777" w:rsidR="00B95931" w:rsidRDefault="009A074D" w:rsidP="00B95931">
      <w:r>
        <w:t>Member</w:t>
      </w:r>
      <w:r w:rsidR="00B95931">
        <w:t xml:space="preserve">s are prohibited from engaging in fraudulent activity. Additionally, each </w:t>
      </w:r>
      <w:r>
        <w:t>Member must</w:t>
      </w:r>
      <w:r w:rsidR="00B95931">
        <w:t xml:space="preserve"> take reasonable steps to detect and prevent fraud, including by establishing and maintaining a written anti-fraud poli</w:t>
      </w:r>
      <w:r>
        <w:t>cy.  The anti-fraud policy must</w:t>
      </w:r>
      <w:r w:rsidR="00B95931">
        <w:t xml:space="preserve">, at a minimum, include: </w:t>
      </w:r>
    </w:p>
    <w:p w14:paraId="0FFDC01C" w14:textId="77777777" w:rsidR="00B95931" w:rsidRDefault="00B95931" w:rsidP="00B95931">
      <w:pPr>
        <w:pStyle w:val="ListParagraph"/>
        <w:numPr>
          <w:ilvl w:val="0"/>
          <w:numId w:val="8"/>
        </w:numPr>
      </w:pPr>
      <w:r>
        <w:lastRenderedPageBreak/>
        <w:t xml:space="preserve">the identification and assessment of fraud-related risk areas; </w:t>
      </w:r>
    </w:p>
    <w:p w14:paraId="14BF99A9" w14:textId="77777777" w:rsidR="00B95931" w:rsidRDefault="00B95931" w:rsidP="00B95931">
      <w:pPr>
        <w:pStyle w:val="ListParagraph"/>
        <w:numPr>
          <w:ilvl w:val="0"/>
          <w:numId w:val="8"/>
        </w:numPr>
      </w:pPr>
      <w:r>
        <w:t xml:space="preserve">procedures and controls to protect against identified risks; </w:t>
      </w:r>
    </w:p>
    <w:p w14:paraId="1576B7AC" w14:textId="77777777" w:rsidR="00B95931" w:rsidRDefault="00B95931" w:rsidP="00B95931">
      <w:pPr>
        <w:pStyle w:val="ListParagraph"/>
        <w:numPr>
          <w:ilvl w:val="0"/>
          <w:numId w:val="8"/>
        </w:numPr>
      </w:pPr>
      <w:r>
        <w:t xml:space="preserve">allocation of responsibility for monitoring risks; and </w:t>
      </w:r>
    </w:p>
    <w:p w14:paraId="0670FBB5" w14:textId="77777777" w:rsidR="0057592C" w:rsidRDefault="00B95931" w:rsidP="00B95931">
      <w:pPr>
        <w:pStyle w:val="ListParagraph"/>
        <w:numPr>
          <w:ilvl w:val="0"/>
          <w:numId w:val="8"/>
        </w:numPr>
      </w:pPr>
      <w:r>
        <w:t>procedures for the periodic evaluation and revision of the anti-fraud procedures, controls, and monitoring mechanisms.</w:t>
      </w:r>
    </w:p>
    <w:sectPr w:rsidR="00575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rea Louie" w:date="2017-08-22T11:51:00Z" w:initials="AL">
    <w:p w14:paraId="08433969" w14:textId="55F5162C" w:rsidR="00645217" w:rsidRDefault="00645217">
      <w:pPr>
        <w:pStyle w:val="CommentText"/>
      </w:pPr>
      <w:r>
        <w:rPr>
          <w:rStyle w:val="CommentReference"/>
        </w:rPr>
        <w:annotationRef/>
      </w:r>
      <w:r>
        <w:t>How does this work with smart contracts and transactions on the blockchain?</w:t>
      </w:r>
    </w:p>
  </w:comment>
  <w:comment w:id="2" w:author="Todd Miller" w:date="2017-08-22T09:03:00Z" w:initials="TM">
    <w:p w14:paraId="4F26F064" w14:textId="77777777" w:rsidR="004237C9" w:rsidRDefault="004237C9">
      <w:pPr>
        <w:pStyle w:val="CommentText"/>
      </w:pPr>
      <w:r>
        <w:rPr>
          <w:rStyle w:val="CommentReference"/>
        </w:rPr>
        <w:annotationRef/>
      </w:r>
      <w:r>
        <w:t>Not sure we need this.</w:t>
      </w:r>
    </w:p>
  </w:comment>
  <w:comment w:id="3" w:author="Andrea Louie" w:date="2017-08-22T11:58:00Z" w:initials="AL">
    <w:p w14:paraId="6F00E546" w14:textId="1B36148A" w:rsidR="002C73E2" w:rsidRDefault="002C73E2">
      <w:pPr>
        <w:pStyle w:val="CommentText"/>
      </w:pPr>
      <w:r>
        <w:rPr>
          <w:rStyle w:val="CommentReference"/>
        </w:rPr>
        <w:annotationRef/>
      </w:r>
      <w:proofErr w:type="spellStart"/>
      <w:r>
        <w:t>RChain</w:t>
      </w:r>
      <w:proofErr w:type="spellEnd"/>
      <w:r>
        <w:t xml:space="preserve"> should give out </w:t>
      </w:r>
      <w:proofErr w:type="spellStart"/>
      <w:r>
        <w:t>reciepts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433969" w15:done="0"/>
  <w15:commentEx w15:paraId="4F26F064" w15:done="0"/>
  <w15:commentEx w15:paraId="6F00E546" w15:paraIdParent="4F26F0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433969" w16cid:durableId="1D469932"/>
  <w16cid:commentId w16cid:paraId="4F26F064" w16cid:durableId="1D4671C4"/>
  <w16cid:commentId w16cid:paraId="6F00E546" w16cid:durableId="1D469A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C6526"/>
    <w:multiLevelType w:val="hybridMultilevel"/>
    <w:tmpl w:val="A044ED5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22177863"/>
    <w:multiLevelType w:val="hybridMultilevel"/>
    <w:tmpl w:val="66DA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B0506"/>
    <w:multiLevelType w:val="hybridMultilevel"/>
    <w:tmpl w:val="61961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766C9"/>
    <w:multiLevelType w:val="multilevel"/>
    <w:tmpl w:val="524826B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 w:cs="Times New Roman" w:hint="default"/>
        <w:color w:val="000000" w:themeColor="text1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2FF05825"/>
    <w:multiLevelType w:val="hybridMultilevel"/>
    <w:tmpl w:val="57A265B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 w15:restartNumberingAfterBreak="0">
    <w:nsid w:val="4B6E0CAF"/>
    <w:multiLevelType w:val="hybridMultilevel"/>
    <w:tmpl w:val="5C080072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7AA84BF1"/>
    <w:multiLevelType w:val="hybridMultilevel"/>
    <w:tmpl w:val="60A88C26"/>
    <w:lvl w:ilvl="0" w:tplc="0CEE89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a Louie">
    <w15:presenceInfo w15:providerId="None" w15:userId="Andrea Louie"/>
  </w15:person>
  <w15:person w15:author="Todd Miller">
    <w15:presenceInfo w15:providerId="Windows Live" w15:userId="dc8e4c3faeec6d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1"/>
    <w:rsid w:val="000609CF"/>
    <w:rsid w:val="002C73E2"/>
    <w:rsid w:val="002D110F"/>
    <w:rsid w:val="003E5EED"/>
    <w:rsid w:val="004237C9"/>
    <w:rsid w:val="00451AD1"/>
    <w:rsid w:val="004877A6"/>
    <w:rsid w:val="004D39BE"/>
    <w:rsid w:val="0057592C"/>
    <w:rsid w:val="0061181D"/>
    <w:rsid w:val="00645217"/>
    <w:rsid w:val="009A074D"/>
    <w:rsid w:val="00B15154"/>
    <w:rsid w:val="00B95931"/>
    <w:rsid w:val="00BC08AA"/>
    <w:rsid w:val="00BE7EFE"/>
    <w:rsid w:val="00C15AA9"/>
    <w:rsid w:val="00C406EF"/>
    <w:rsid w:val="00CA13B7"/>
    <w:rsid w:val="00E0181D"/>
    <w:rsid w:val="00E443D8"/>
    <w:rsid w:val="00F52BA7"/>
    <w:rsid w:val="00F9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3F6E"/>
  <w15:chartTrackingRefBased/>
  <w15:docId w15:val="{B426F101-363D-49DE-AAE5-E0FC2FCC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A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EFE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7EFE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E7EFE"/>
    <w:rPr>
      <w:rFonts w:eastAsiaTheme="majorEastAsia" w:cstheme="majorBidi"/>
      <w:iCs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E7EFE"/>
    <w:rPr>
      <w:rFonts w:eastAsiaTheme="majorEastAsia" w:cstheme="majorBidi"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B959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118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8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8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81D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81D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8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D7EFE-37AA-47B5-B29B-AB35057C9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Miller</dc:creator>
  <cp:keywords/>
  <dc:description/>
  <cp:lastModifiedBy>Andrea Louie</cp:lastModifiedBy>
  <cp:revision>8</cp:revision>
  <dcterms:created xsi:type="dcterms:W3CDTF">2017-08-22T18:42:00Z</dcterms:created>
  <dcterms:modified xsi:type="dcterms:W3CDTF">2017-08-22T18:58:00Z</dcterms:modified>
</cp:coreProperties>
</file>