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CSP Risk Display: Terminology Refinement</w:t>
      </w:r>
    </w:p>
    <w:p>
      <w:pPr>
        <w:spacing w:after="60"/>
      </w:pPr>
      <w:r>
        <w:rPr>
          <w:color w:val="555555"/>
          <w:sz w:val="26"/>
          <w:szCs w:val="26"/>
        </w:rPr>
        <w:t xml:space="preserve">"Realistic Loss" renamed to "2σ Scenario Loss"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Implementation Report  |  Status: Complete, ready to deploy</w:t>
      </w:r>
    </w:p>
    <w:p>
      <w:pPr>
        <w:pStyle w:val="Heading1"/>
        <w:spacing w:after="120" w:before="240"/>
      </w:pPr>
      <w:r>
        <w:t xml:space="preserve">Summary</w:t>
      </w:r>
    </w:p>
    <w:p>
      <w:pPr>
        <w:spacing w:after="120"/>
      </w:pPr>
      <w:r>
        <w:t xml:space="preserve">The CSP risk display previously labeled its volatility-based downside figure "Realistic Loss." That label implied more statistical certainty than the calculation actually provides -- it is not an expected loss, a probability-weighted loss, Value at Risk (VaR), or a maximum likely loss. It is the loss under one modeled downside scenario: a 2-standard-deviation (2-sigma) implied-volatility move by expiration.</w:t>
      </w:r>
    </w:p>
    <w:p>
      <w:pPr>
        <w:spacing w:after="120"/>
      </w:pPr>
      <w:r>
        <w:t xml:space="preserve">This update renames the metric to "2σ Scenario Loss" throughout the code, UI, and tooltip, and updates the tooltip copy to describe it as a modeled scenario rather than a prediction. "Capital at Risk" is unchanged -- same calculation, same meaning, same theoretical stock-to-$0 worst case used for buying-power purposes.</w:t>
      </w:r>
    </w:p>
    <w:p>
      <w:pPr>
        <w:pStyle w:val="Heading1"/>
        <w:spacing w:after="120" w:before="240"/>
      </w:pPr>
      <w:r>
        <w:t xml:space="preserve">Why this matters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TradeEdge’s design principle is to explain risk accurately and conservatively. "Realistic Loss" could be read as a prediction of likely loss; "2σ Scenario Loss" states plainly what the number is -- one modeled scenario, not a forecast.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change in what the feature does or shows -- same two figures, same math, same tooltip mechanism. This is a precision-of-language fix, not a redesign.</w:t>
      </w:r>
    </w:p>
    <w:p>
      <w:pPr>
        <w:pStyle w:val="Heading1"/>
        <w:spacing w:after="120" w:before="240"/>
      </w:pPr>
      <w:r>
        <w:t xml:space="preserve">What 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lib/calculateCspRisk.ts -- renamed the realisticLoss field to scenarioLoss; renamed twoSigmaMove to expectedMove; updated all comments and documentation references from "Realistic Loss" to "2σ Scenario Loss."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components/CspRiskCell.tsx -- added a visible "2σ Scenario Loss" label above the primary dollar figure (previously unlabeled); replaced the tooltip copy with concise, scenario-framed language for both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lib/__tests__/calculateCspRisk.test.ts -- new targeted test suite (8 tests) covering breakeven, both IV input formats, the $0 floor, DTE=0, and the DTE-negative regression fix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at Risk -- calculation and terminology untouched throughout.</w:t>
      </w:r>
    </w:p>
    <w:p>
      <w:pPr>
        <w:pStyle w:val="Heading1"/>
        <w:spacing w:after="120" w:before="240"/>
      </w:pPr>
      <w:r>
        <w:t xml:space="preserve">Updated tooltip copy</w:t>
      </w:r>
    </w:p>
    <w:p>
      <w:pPr>
        <w:spacing w:after="120"/>
      </w:pPr>
      <w:r>
        <w:rPr>
          <w:i/>
          <w:iCs/>
        </w:rPr>
        <w:t xml:space="preserve">2σ Scenario Loss estimates the loss if the underlying declines by two implied-volatility standard deviations by expiration. It is a modeled scenario, not a prediction or maximum expected loss.</w:t>
      </w:r>
    </w:p>
    <w:p>
      <w:pPr>
        <w:spacing w:after="120"/>
      </w:pPr>
      <w:r>
        <w:rPr>
          <w:i/>
          <w:iCs/>
        </w:rPr>
        <w:t xml:space="preserve">Capital at Risk assumes the underlying falls to $0 and represents the theoretical worst-case loss used for buying-power purposes.</w:t>
      </w:r>
    </w:p>
    <w:p>
      <w:pPr>
        <w:pStyle w:val="Heading1"/>
        <w:spacing w:after="120" w:before="240"/>
      </w:pPr>
      <w:r>
        <w:t xml:space="preserve">Mathematical audit</w:t>
      </w:r>
    </w:p>
    <w:p>
      <w:pPr>
        <w:spacing w:after="120"/>
      </w:pPr>
      <w:r>
        <w:t xml:space="preserve">The calculation was audited against the spec formula (Breakeven = Strike − Premium; ExpectedMove = Price × IV × √(DTE/365); ExpectedLow = Price − 2×ExpectedMove; ScenarioLoss = max(0, Breakeven − ExpectedLow) × 100 × Contracts). Findings: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defect: the existing implementation is algebraically identical to the spec formula. Confirmed by direct rearrangement.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defect: premium is treated as per-share throughout and multiplied by 100 exactly once in each formula -- no double-multiplication.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defect: both IV input formats (whole-number percent, e.g. 45, and decimal fraction, e.g. 0.45) normalize to identical results -- verified in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defensive fix, not a math change: negative or invalid days-to-expiration previously produced NaN (via sqrt of a negative number), which would have rendered as "$NaN" in the UI. daysToExpiration is now clamped to a minimum of 0 before the square root. This does not change the result for any valid, non-negative DTE input -- it only prevents an invalid-input crash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observation, not acted on: a decimal IV of exactly 1.0 (100% IV) would be misread by the format-detection heuristic as whole-number-percent and divided down to 1%. This is an inherent ambiguity at that exact boundary for any heuristic-based format detection, not a defect in either format’s handling -- noted for awareness, not changed, since it is outside this refinement’s scope and does not affect realistic IV inputs.</w:t>
      </w:r>
    </w:p>
    <w:p>
      <w:pPr>
        <w:pStyle w:val="Heading1"/>
        <w:spacing w:after="120" w:before="240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test suite: 8/8 passing (vitest), covering both IV formats, DTE=0, the DTE-negative regression, the $0 floor, breakeven, and confirmation that Capital at Risk is byte-for-byte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(tsc --noEmit): clean, 0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build (next build): did not complete in this sandbox environment -- consistent with a known, previously-documented sandbox limitation (see PI-0006A), not a code issue given tsc is clean and all tests pass. Recommend treating the Vercel build on push as the authoritative build check.</w:t>
      </w:r>
    </w:p>
    <w:p>
      <w:pPr>
        <w:pStyle w:val="Heading1"/>
        <w:spacing w:after="120" w:before="240"/>
      </w:pPr>
      <w:r>
        <w:t xml:space="preserve">Confirmation</w:t>
      </w:r>
    </w:p>
    <w:p>
      <w:pPr>
        <w:spacing w:after="120"/>
      </w:pPr>
      <w:r>
        <w:t xml:space="preserve">This was a terminology, UX, and validation refinement, plus one narrow defensive input-validation fix (the DTE clamp described above). No change was made to the scenario-loss or capital-at-risk formulas themselves for any valid input.</w:t>
      </w:r>
    </w:p>
    <w:p>
      <w:pPr>
        <w:pStyle w:val="Heading1"/>
        <w:spacing w:after="120" w:before="240"/>
      </w:pPr>
      <w:r>
        <w:t xml:space="preserve">Note on branch</w:t>
      </w:r>
    </w:p>
    <w:p>
      <w:pPr>
        <w:spacing w:after="120"/>
      </w:pPr>
      <w:r>
        <w:t xml:space="preserve">The ticket’s closing instructions reference feature/autopilot-paper-mode. That branch does not exist locally or on the remote; the CSP risk-display code (and this change) lives on feature/portfolio-intelligence, where it was originally committed. Flagging this rather than silently substituting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2026-07-16T16:59:11.823Z</dcterms:created>
  <dcterms:modified xsi:type="dcterms:W3CDTF">2026-07-16T16:59:11.824Z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