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40"/>
          <w:szCs w:val="40"/>
        </w:rPr>
        <w:t xml:space="preserve">Portfolio Review — Phase 1</w:t>
      </w:r>
    </w:p>
    <w:p>
      <w:pPr>
        <w:spacing w:after="300"/>
      </w:pPr>
      <w:r>
        <w:rPr>
          <w:i/>
          <w:iCs/>
          <w:color w:val="555555"/>
        </w:rPr>
        <w:t xml:space="preserve">Implementation Summary  |  PI-0012A  |  July 16, 2026</w:t>
      </w:r>
    </w:p>
    <w:p>
      <w:pPr>
        <w:pStyle w:val="Heading1"/>
        <w:spacing w:after="150" w:before="300"/>
      </w:pPr>
      <w:r>
        <w:rPr>
          <w:b/>
          <w:bCs/>
        </w:rPr>
        <w:t xml:space="preserve">Overview</w:t>
      </w:r>
    </w:p>
    <w:p>
      <w:pPr>
        <w:spacing w:after="200"/>
      </w:pPr>
      <w:r>
        <w:t xml:space="preserve">This phase adds a new "Portfolio Review" section to the top of the Portfolio page, giving a single, at-a-glance summary of how the whole portfolio is doing — before you even scroll down to individual positions. It answers four questions immediately: How healthy is the portfolio overall? What are the most important things to look at right now? How is the portfolio composed? And are there any capital, cash, or income concerns to know about?</w:t>
      </w:r>
    </w:p>
    <w:p>
      <w:pPr>
        <w:spacing w:after="200"/>
      </w:pPr>
      <w:r>
        <w:t xml:space="preserve">Nothing about this feature invents new judgment. Every number and recommendation it shows was already being calculated elsewhere in the app for other screens — this phase's job was to collect those existing answers into one clean summary, not to build a new opinion engine.</w:t>
      </w:r>
    </w:p>
    <w:p>
      <w:pPr>
        <w:pStyle w:val="Heading1"/>
        <w:spacing w:after="150" w:before="300"/>
      </w:pPr>
      <w:r>
        <w:rPr>
          <w:b/>
          <w:bCs/>
        </w:rPr>
        <w:t xml:space="preserve">Why This Approach</w:t>
      </w:r>
    </w:p>
    <w:p>
      <w:pPr>
        <w:spacing w:after="200"/>
      </w:pPr>
      <w:r>
        <w:t xml:space="preserve">The original concern behind this project was a real risk in software like this: if a new "portfolio review" feature calculated its own version of health, risk, or priority, it could quietly drift out of sync with the numbers already shown elsewhere in the app — leading to two screens disagreeing with each other over time.</w:t>
      </w:r>
    </w:p>
    <w:p>
      <w:pPr>
        <w:spacing w:after="200"/>
      </w:pPr>
      <w:r>
        <w:t xml:space="preserve">To avoid that, this phase was scoped deliberately narrow. It reuses:</w:t>
      </w:r>
    </w:p>
    <w:p>
      <w:pPr>
        <w:pStyle w:val="ListParagraph"/>
        <w:numPr>
          <w:ilvl w:val="0"/>
          <w:numId w:val="2"/>
        </w:numPr>
        <w:spacing w:after="120"/>
      </w:pPr>
      <w:r>
        <w:t xml:space="preserve">The existing Portfolio Health score (the same 0–100 score already used elsewhere), unchanged.</w:t>
      </w:r>
    </w:p>
    <w:p>
      <w:pPr>
        <w:pStyle w:val="ListParagraph"/>
        <w:numPr>
          <w:ilvl w:val="0"/>
          <w:numId w:val="2"/>
        </w:numPr>
        <w:spacing w:after="120"/>
      </w:pPr>
      <w:r>
        <w:t xml:space="preserve">The existing list of "what needs attention" items, already ranked by importance — this feature just shows the top few, it doesn't re-rank them.</w:t>
      </w:r>
    </w:p>
    <w:p>
      <w:pPr>
        <w:pStyle w:val="ListParagraph"/>
        <w:numPr>
          <w:ilvl w:val="0"/>
          <w:numId w:val="2"/>
        </w:numPr>
        <w:spacing w:after="120"/>
      </w:pPr>
      <w:r>
        <w:t xml:space="preserve">The existing concentration, buying power, idle cash, and income checks — again, unchanged.</w:t>
      </w:r>
    </w:p>
    <w:p>
      <w:pPr>
        <w:spacing w:after="200"/>
      </w:pPr>
      <w:r>
        <w:t xml:space="preserve">The only genuinely new work in this phase is simple counting and grouping — for example, tallying how many positions use each strategy, or working out what percentage of the portfolio sits in a single stock. No new scoring model, no new recommendation logic, and no new AI calls were introduced.</w:t>
      </w:r>
    </w:p>
    <w:p>
      <w:pPr>
        <w:pStyle w:val="Heading1"/>
        <w:spacing w:after="150" w:before="300"/>
      </w:pPr>
      <w:r>
        <w:rPr>
          <w:b/>
          <w:bCs/>
        </w:rPr>
        <w:t xml:space="preserve">What You'll See</w:t>
      </w:r>
    </w:p>
    <w:p>
      <w:pPr>
        <w:spacing w:after="200"/>
      </w:pPr>
      <w:r>
        <w:t xml:space="preserve">At the top of the Positions tab, above the position table, a new card now shows:</w:t>
      </w:r>
    </w:p>
    <w:p>
      <w:pPr>
        <w:pStyle w:val="ListParagraph"/>
        <w:numPr>
          <w:ilvl w:val="0"/>
          <w:numId w:val="2"/>
        </w:numPr>
        <w:spacing w:after="120"/>
      </w:pPr>
      <w:r>
        <w:t xml:space="preserve">Portfolio Health — the current score, status (Healthy / Needs Attention / Action Required), and the top reasons behind it.</w:t>
      </w:r>
    </w:p>
    <w:p>
      <w:pPr>
        <w:pStyle w:val="ListParagraph"/>
        <w:numPr>
          <w:ilvl w:val="0"/>
          <w:numId w:val="2"/>
        </w:numPr>
        <w:spacing w:after="120"/>
      </w:pPr>
      <w:r>
        <w:t xml:space="preserve">Top Risks — the 3–5 most important things to look at right now, in the same priority order used elsewhere in the app.</w:t>
      </w:r>
    </w:p>
    <w:p>
      <w:pPr>
        <w:pStyle w:val="ListParagraph"/>
        <w:numPr>
          <w:ilvl w:val="0"/>
          <w:numId w:val="2"/>
        </w:numPr>
        <w:spacing w:after="120"/>
      </w:pPr>
      <w:r>
        <w:t xml:space="preserve">Portfolio Composition — how many positions are open, how they break down by strategy, the largest single-stock concentration, and (once available) what share of the portfolio is being actively managed as part of a Wheel strategy.</w:t>
      </w:r>
    </w:p>
    <w:p>
      <w:pPr>
        <w:pStyle w:val="ListParagraph"/>
        <w:numPr>
          <w:ilvl w:val="0"/>
          <w:numId w:val="2"/>
        </w:numPr>
        <w:spacing w:after="120"/>
      </w:pPr>
      <w:r>
        <w:t xml:space="preserve">Capital &amp; Income — any flags about buying power, idle cash, or falling short of an income target.</w:t>
      </w:r>
    </w:p>
    <w:p>
      <w:pPr>
        <w:spacing w:after="200"/>
      </w:pPr>
      <w:r>
        <w:t xml:space="preserve">If there are no open positions yet, or nothing notable to flag, each section shows a clean "nothing here right now" message rather than a blank or confusing screen.</w:t>
      </w:r>
    </w:p>
    <w:p>
      <w:pPr>
        <w:pStyle w:val="Heading1"/>
        <w:spacing w:after="150" w:before="300"/>
      </w:pPr>
      <w:r>
        <w:rPr>
          <w:b/>
          <w:bCs/>
        </w:rPr>
        <w:t xml:space="preserve">What's Not Included Yet — and Why</w:t>
      </w:r>
    </w:p>
    <w:p>
      <w:pPr>
        <w:spacing w:after="200"/>
      </w:pPr>
      <w:r>
        <w:t xml:space="preserve">Two further phases were intentionally left for later, once this foundation is validated:</w:t>
      </w:r>
    </w:p>
    <w:p>
      <w:pPr>
        <w:pStyle w:val="ListParagraph"/>
        <w:numPr>
          <w:ilvl w:val="0"/>
          <w:numId w:val="2"/>
        </w:numPr>
        <w:spacing w:after="120"/>
      </w:pPr>
      <w:r>
        <w:t xml:space="preserve">Trailing performance (win rate, realized profit/loss over time) — this requires pulling in trade history and is a good next, self-contained step.</w:t>
      </w:r>
    </w:p>
    <w:p>
      <w:pPr>
        <w:pStyle w:val="ListParagraph"/>
        <w:numPr>
          <w:ilvl w:val="0"/>
          <w:numId w:val="2"/>
        </w:numPr>
        <w:spacing w:after="120"/>
      </w:pPr>
      <w:r>
        <w:t xml:space="preserve">Decision quality (how accurate past recommendations turned out to be) — this is genuinely useful, but only once there's enough resolved history to make the number meaningful; showing it too early on a small sample would be misleading rather than helpful.</w:t>
      </w:r>
    </w:p>
    <w:p>
      <w:pPr>
        <w:spacing w:after="200"/>
      </w:pPr>
      <w:r>
        <w:t xml:space="preserve">Both are already designed (see the underlying architecture document) but deliberately not built yet, so this first version could be validated on its own before adding more.</w:t>
      </w:r>
    </w:p>
    <w:p>
      <w:pPr>
        <w:pStyle w:val="Heading1"/>
        <w:spacing w:after="150" w:before="300"/>
      </w:pPr>
      <w:r>
        <w:rPr>
          <w:b/>
          <w:bCs/>
        </w:rPr>
        <w:t xml:space="preserve">Implementation Phases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100"/>
      </w:tblGrid>
      <w:tr>
        <w:tc>
          <w:tcPr>
            <w:tcW w:type="dxa" w:w="1600"/>
            <w:shd w:fill="1F2937" w:val="clear"/>
            <w:tcMar>
              <w:top w:type="dxa" w:w="100"/>
              <w:left w:type="dxa" w:w="120"/>
              <w:bottom w:type="dxa" w:w="100"/>
              <w:right w:type="dxa" w:w="120"/>
            </w:tcMar>
          </w:tcPr>
          <w:p>
            <w:r>
              <w:rPr>
                <w:b/>
                <w:bCs/>
                <w:color w:val="FFFFFF"/>
                <w:sz w:val="20"/>
                <w:szCs w:val="20"/>
              </w:rPr>
              <w:t xml:space="preserve">Phase</w:t>
            </w:r>
          </w:p>
        </w:tc>
        <w:tc>
          <w:tcPr>
            <w:tcW w:type="dxa" w:w="1500"/>
            <w:shd w:fill="1F2937" w:val="clear"/>
            <w:tcMar>
              <w:top w:type="dxa" w:w="100"/>
              <w:left w:type="dxa" w:w="120"/>
              <w:bottom w:type="dxa" w:w="100"/>
              <w:right w:type="dxa" w:w="120"/>
            </w:tcMar>
          </w:tcPr>
          <w:p>
            <w:r>
              <w:rPr>
                <w:b/>
                <w:bCs/>
                <w:color w:val="FFFFFF"/>
                <w:sz w:val="20"/>
                <w:szCs w:val="20"/>
              </w:rPr>
              <w:t xml:space="preserve">Status</w:t>
            </w:r>
          </w:p>
        </w:tc>
        <w:tc>
          <w:tcPr>
            <w:tcW w:type="dxa" w:w="6100"/>
            <w:shd w:fill="1F2937" w:val="clear"/>
            <w:tcMar>
              <w:top w:type="dxa" w:w="100"/>
              <w:left w:type="dxa" w:w="120"/>
              <w:bottom w:type="dxa" w:w="100"/>
              <w:right w:type="dxa" w:w="120"/>
            </w:tcMar>
          </w:tcPr>
          <w:p>
            <w:r>
              <w:rPr>
                <w:b/>
                <w:bCs/>
                <w:color w:val="FFFFFF"/>
                <w:sz w:val="20"/>
                <w:szCs w:val="20"/>
              </w:rPr>
              <w:t xml:space="preserve">What It Covers</w:t>
            </w:r>
          </w:p>
        </w:tc>
      </w:tr>
      <w:tr>
        <w:tc>
          <w:tcPr>
            <w:tcW w:type="dxa" w:w="1600"/>
            <w:tcMar>
              <w:top w:type="dxa" w:w="100"/>
              <w:left w:type="dxa" w:w="120"/>
              <w:bottom w:type="dxa" w:w="100"/>
              <w:right w:type="dxa" w:w="120"/>
            </w:tcMar>
          </w:tcPr>
          <w:p>
            <w:r>
              <w:rPr>
                <w:b w:val="false"/>
                <w:bCs w:val="false"/>
                <w:sz w:val="20"/>
                <w:szCs w:val="20"/>
              </w:rPr>
              <w:t xml:space="preserve">PI-0012A</w:t>
            </w:r>
          </w:p>
        </w:tc>
        <w:tc>
          <w:tcPr>
            <w:tcW w:type="dxa" w:w="1500"/>
            <w:tcMar>
              <w:top w:type="dxa" w:w="100"/>
              <w:left w:type="dxa" w:w="120"/>
              <w:bottom w:type="dxa" w:w="100"/>
              <w:right w:type="dxa" w:w="120"/>
            </w:tcMar>
          </w:tcPr>
          <w:p>
            <w:r>
              <w:rPr>
                <w:b w:val="false"/>
                <w:bCs w:val="false"/>
                <w:sz w:val="20"/>
                <w:szCs w:val="20"/>
              </w:rPr>
              <w:t xml:space="preserve">Complete</w:t>
            </w:r>
          </w:p>
        </w:tc>
        <w:tc>
          <w:tcPr>
            <w:tcW w:type="dxa" w:w="6100"/>
            <w:tcMar>
              <w:top w:type="dxa" w:w="100"/>
              <w:left w:type="dxa" w:w="120"/>
              <w:bottom w:type="dxa" w:w="100"/>
              <w:right w:type="dxa" w:w="120"/>
            </w:tcMar>
          </w:tcPr>
          <w:p>
            <w:r>
              <w:rPr>
                <w:b w:val="false"/>
                <w:bCs w:val="false"/>
                <w:sz w:val="20"/>
                <w:szCs w:val="20"/>
              </w:rPr>
              <w:t xml:space="preserve">Portfolio Health, Top Risks, portfolio composition, and capital/income flags — all reusing existing, already-trusted calculations.</w:t>
            </w:r>
          </w:p>
        </w:tc>
      </w:tr>
      <w:tr>
        <w:tc>
          <w:tcPr>
            <w:tcW w:type="dxa" w:w="1600"/>
            <w:tcMar>
              <w:top w:type="dxa" w:w="100"/>
              <w:left w:type="dxa" w:w="120"/>
              <w:bottom w:type="dxa" w:w="100"/>
              <w:right w:type="dxa" w:w="120"/>
            </w:tcMar>
          </w:tcPr>
          <w:p>
            <w:r>
              <w:rPr>
                <w:b w:val="false"/>
                <w:bCs w:val="false"/>
                <w:sz w:val="20"/>
                <w:szCs w:val="20"/>
              </w:rPr>
              <w:t xml:space="preserve">PI-0012B</w:t>
            </w:r>
          </w:p>
        </w:tc>
        <w:tc>
          <w:tcPr>
            <w:tcW w:type="dxa" w:w="1500"/>
            <w:tcMar>
              <w:top w:type="dxa" w:w="100"/>
              <w:left w:type="dxa" w:w="120"/>
              <w:bottom w:type="dxa" w:w="100"/>
              <w:right w:type="dxa" w:w="120"/>
            </w:tcMar>
          </w:tcPr>
          <w:p>
            <w:r>
              <w:rPr>
                <w:b w:val="false"/>
                <w:bCs w:val="false"/>
                <w:sz w:val="20"/>
                <w:szCs w:val="20"/>
              </w:rPr>
              <w:t xml:space="preserve">Not started</w:t>
            </w:r>
          </w:p>
        </w:tc>
        <w:tc>
          <w:tcPr>
            <w:tcW w:type="dxa" w:w="6100"/>
            <w:tcMar>
              <w:top w:type="dxa" w:w="100"/>
              <w:left w:type="dxa" w:w="120"/>
              <w:bottom w:type="dxa" w:w="100"/>
              <w:right w:type="dxa" w:w="120"/>
            </w:tcMar>
          </w:tcPr>
          <w:p>
            <w:r>
              <w:rPr>
                <w:b w:val="false"/>
                <w:bCs w:val="false"/>
                <w:sz w:val="20"/>
                <w:szCs w:val="20"/>
              </w:rPr>
              <w:t xml:space="preserve">Trailing performance: win rate, realized profit/loss, and average hold time over a selected time window.</w:t>
            </w:r>
          </w:p>
        </w:tc>
      </w:tr>
      <w:tr>
        <w:tc>
          <w:tcPr>
            <w:tcW w:type="dxa" w:w="1600"/>
            <w:tcMar>
              <w:top w:type="dxa" w:w="100"/>
              <w:left w:type="dxa" w:w="120"/>
              <w:bottom w:type="dxa" w:w="100"/>
              <w:right w:type="dxa" w:w="120"/>
            </w:tcMar>
          </w:tcPr>
          <w:p>
            <w:r>
              <w:rPr>
                <w:b w:val="false"/>
                <w:bCs w:val="false"/>
                <w:sz w:val="20"/>
                <w:szCs w:val="20"/>
              </w:rPr>
              <w:t xml:space="preserve">PI-0012C</w:t>
            </w:r>
          </w:p>
        </w:tc>
        <w:tc>
          <w:tcPr>
            <w:tcW w:type="dxa" w:w="1500"/>
            <w:tcMar>
              <w:top w:type="dxa" w:w="100"/>
              <w:left w:type="dxa" w:w="120"/>
              <w:bottom w:type="dxa" w:w="100"/>
              <w:right w:type="dxa" w:w="120"/>
            </w:tcMar>
          </w:tcPr>
          <w:p>
            <w:r>
              <w:rPr>
                <w:b w:val="false"/>
                <w:bCs w:val="false"/>
                <w:sz w:val="20"/>
                <w:szCs w:val="20"/>
              </w:rPr>
              <w:t xml:space="preserve">Not started</w:t>
            </w:r>
          </w:p>
        </w:tc>
        <w:tc>
          <w:tcPr>
            <w:tcW w:type="dxa" w:w="6100"/>
            <w:tcMar>
              <w:top w:type="dxa" w:w="100"/>
              <w:left w:type="dxa" w:w="120"/>
              <w:bottom w:type="dxa" w:w="100"/>
              <w:right w:type="dxa" w:w="120"/>
            </w:tcMar>
          </w:tcPr>
          <w:p>
            <w:r>
              <w:rPr>
                <w:b w:val="false"/>
                <w:bCs w:val="false"/>
                <w:sz w:val="20"/>
                <w:szCs w:val="20"/>
              </w:rPr>
              <w:t xml:space="preserve">Decision quality: how often past recommendations turned out to be right, once enough history exists to make that meaningful.</w:t>
            </w:r>
          </w:p>
        </w:tc>
      </w:tr>
      <w:tr>
        <w:tc>
          <w:tcPr>
            <w:tcW w:type="dxa" w:w="1600"/>
            <w:tcMar>
              <w:top w:type="dxa" w:w="100"/>
              <w:left w:type="dxa" w:w="120"/>
              <w:bottom w:type="dxa" w:w="100"/>
              <w:right w:type="dxa" w:w="120"/>
            </w:tcMar>
          </w:tcPr>
          <w:p>
            <w:r>
              <w:rPr>
                <w:b w:val="false"/>
                <w:bCs w:val="false"/>
                <w:sz w:val="20"/>
                <w:szCs w:val="20"/>
              </w:rPr>
              <w:t xml:space="preserve">PI-0012D</w:t>
            </w:r>
          </w:p>
        </w:tc>
        <w:tc>
          <w:tcPr>
            <w:tcW w:type="dxa" w:w="1500"/>
            <w:tcMar>
              <w:top w:type="dxa" w:w="100"/>
              <w:left w:type="dxa" w:w="120"/>
              <w:bottom w:type="dxa" w:w="100"/>
              <w:right w:type="dxa" w:w="120"/>
            </w:tcMar>
          </w:tcPr>
          <w:p>
            <w:r>
              <w:rPr>
                <w:b w:val="false"/>
                <w:bCs w:val="false"/>
                <w:sz w:val="20"/>
                <w:szCs w:val="20"/>
              </w:rPr>
              <w:t xml:space="preserve">Not started</w:t>
            </w:r>
          </w:p>
        </w:tc>
        <w:tc>
          <w:tcPr>
            <w:tcW w:type="dxa" w:w="6100"/>
            <w:tcMar>
              <w:top w:type="dxa" w:w="100"/>
              <w:left w:type="dxa" w:w="120"/>
              <w:bottom w:type="dxa" w:w="100"/>
              <w:right w:type="dxa" w:w="120"/>
            </w:tcMar>
          </w:tcPr>
          <w:p>
            <w:r>
              <w:rPr>
                <w:b w:val="false"/>
                <w:bCs w:val="false"/>
                <w:sz w:val="20"/>
                <w:szCs w:val="20"/>
              </w:rPr>
              <w:t xml:space="preserve">Polish: time-window switching (30/90/365 days) and final review of the whole feature.</w:t>
            </w:r>
          </w:p>
        </w:tc>
      </w:tr>
    </w:tbl>
    <w:p>
      <w:pPr>
        <w:spacing w:before="200"/>
      </w:pPr>
    </w:p>
    <w:p>
      <w:pPr>
        <w:pStyle w:val="Heading1"/>
        <w:spacing w:after="150" w:before="300"/>
      </w:pPr>
      <w:r>
        <w:rPr>
          <w:b/>
          <w:bCs/>
        </w:rPr>
        <w:t xml:space="preserve">Testing &amp; Validation</w:t>
      </w:r>
    </w:p>
    <w:p>
      <w:pPr>
        <w:pStyle w:val="ListParagraph"/>
        <w:numPr>
          <w:ilvl w:val="0"/>
          <w:numId w:val="2"/>
        </w:numPr>
        <w:spacing w:after="120"/>
      </w:pPr>
      <w:r>
        <w:t xml:space="preserve">All 41 automated test files in the codebase pass, including 20 new tests written for this feature.</w:t>
      </w:r>
    </w:p>
    <w:p>
      <w:pPr>
        <w:pStyle w:val="ListParagraph"/>
        <w:numPr>
          <w:ilvl w:val="0"/>
          <w:numId w:val="2"/>
        </w:numPr>
        <w:spacing w:after="120"/>
      </w:pPr>
      <w:r>
        <w:t xml:space="preserve">A full type-safety check of the codebase completed with zero errors.</w:t>
      </w:r>
    </w:p>
    <w:p>
      <w:pPr>
        <w:pStyle w:val="ListParagraph"/>
        <w:numPr>
          <w:ilvl w:val="0"/>
          <w:numId w:val="2"/>
        </w:numPr>
        <w:spacing w:after="120"/>
      </w:pPr>
      <w:r>
        <w:t xml:space="preserve">A production build check hit a known limitation of this development environment (unrelated to this change — it affects builds generally in this sandbox); the live Vercel deployment build remains the final check before this is considered fully verified in production.</w:t>
      </w:r>
    </w:p>
    <w:p>
      <w:pPr>
        <w:pStyle w:val="ListParagraph"/>
        <w:numPr>
          <w:ilvl w:val="0"/>
          <w:numId w:val="2"/>
        </w:numPr>
        <w:spacing w:after="120"/>
      </w:pPr>
      <w:r>
        <w:t xml:space="preserve">No screenshots were taken in this environment; a quick visual check once deployed is recommended, particularly for how the card looks with zero positions and on a narrow screen.</w:t>
      </w:r>
    </w:p>
    <w:p>
      <w:pPr>
        <w:pStyle w:val="Heading1"/>
        <w:spacing w:after="150" w:before="300"/>
      </w:pPr>
      <w:r>
        <w:rPr>
          <w:b/>
          <w:bCs/>
        </w:rPr>
        <w:t xml:space="preserve">Recommendation</w:t>
      </w:r>
    </w:p>
    <w:p>
      <w:pPr>
        <w:spacing w:after="200"/>
      </w:pPr>
      <w:r>
        <w:t xml:space="preserve">This phase is ready to push, deploy, and review live. Once you've had a chance to look at it in the deployed app, the natural next step is Phase 2 (trailing performance), which builds on the same foundation without touching anything shipped in this phase.</w:t>
      </w:r>
    </w:p>
    <w:p>
      <w:pPr>
        <w:pBdr>
          <w:top w:val="single" w:color="CCCCCC" w:sz="6"/>
        </w:pBdr>
        <w:spacing w:before="300"/>
      </w:pPr>
    </w:p>
    <w:p>
      <w:pPr>
        <w:spacing w:before="150"/>
      </w:pPr>
      <w:r>
        <w:rPr>
          <w:color w:val="888888"/>
          <w:sz w:val="18"/>
          <w:szCs w:val="18"/>
        </w:rPr>
        <w:t xml:space="preserve">Branch: feature/portfolio-intelligence   |   Commit: 69b64c3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2026-07-17T03:55:35.002Z</dcterms:created>
  <dcterms:modified xsi:type="dcterms:W3CDTF">2026-07-17T03:55:35.002Z</dcterms:modified>
</cp:coreProperties>
</file>

<file path=docProps/custom.xml><?xml version="1.0" encoding="utf-8"?>
<Properties xmlns="http://schemas.openxmlformats.org/officeDocument/2006/custom-properties" xmlns:vt="http://schemas.openxmlformats.org/officeDocument/2006/docPropsVTypes"/>
</file>