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40"/>
          <w:szCs w:val="40"/>
        </w:rPr>
        <w:t xml:space="preserve">Daily Briefing Dashboard</w:t>
      </w:r>
    </w:p>
    <w:p>
      <w:pPr>
        <w:spacing w:after="300"/>
      </w:pPr>
      <w:r>
        <w:rPr>
          <w:i/>
          <w:iCs/>
          <w:color w:val="555555"/>
        </w:rPr>
        <w:t xml:space="preserve">Implementation Summary  |  PI-0013  |  July 17, 2026</w:t>
      </w:r>
    </w:p>
    <w:p>
      <w:pPr>
        <w:pStyle w:val="Heading1"/>
        <w:spacing w:after="150" w:before="300"/>
      </w:pPr>
      <w:r>
        <w:rPr>
          <w:b/>
          <w:bCs/>
        </w:rPr>
        <w:t xml:space="preserve">Overview</w:t>
      </w:r>
    </w:p>
    <w:p>
      <w:pPr>
        <w:spacing w:after="200"/>
      </w:pPr>
      <w:r>
        <w:t xml:space="preserve">This sprint adds a "Today's Briefing" section to the very top of the Portfolio page — above even the Portfolio Review card added last sprint. The goal is simple: in under 30 seconds, before making any trading decision, you should know whether the portfolio is healthy, what deserves attention today, what's coming up, and where the risks and opportunities are.</w:t>
      </w:r>
    </w:p>
    <w:p>
      <w:pPr>
        <w:spacing w:after="200"/>
      </w:pPr>
      <w:r>
        <w:t xml:space="preserve">Think of it as an executive morning briefing for the portfolio. It doesn't tell you anything new — everything it shows is already being calculated elsewhere in the app. Its job is purely to gather those existing answers into one short, readable summary at the top of the page.</w:t>
      </w:r>
    </w:p>
    <w:p>
      <w:pPr>
        <w:pStyle w:val="Heading1"/>
        <w:spacing w:after="150" w:before="300"/>
      </w:pPr>
      <w:r>
        <w:rPr>
          <w:b/>
          <w:bCs/>
        </w:rPr>
        <w:t xml:space="preserve">Why This Approach</w:t>
      </w:r>
    </w:p>
    <w:p>
      <w:pPr>
        <w:spacing w:after="200"/>
      </w:pPr>
      <w:r>
        <w:t xml:space="preserve">The same principle that guided the Portfolio Review sprint applies here, even more strictly: this is explicitly not a fourth "brain" for the app. It does not score anything, does not rank anything, and does not use AI or any external service to generate its summary sentence — the wording is built from a fixed template filled in with numbers and labels that already exist. That means it will always match what the rest of the app is already saying, by construction, not by careful upkeep.</w:t>
      </w:r>
    </w:p>
    <w:p>
      <w:pPr>
        <w:spacing w:after="200"/>
      </w:pPr>
      <w:r>
        <w:t xml:space="preserve">Every section reuses something that already existed before this sprint started:</w:t>
      </w:r>
    </w:p>
    <w:p>
      <w:pPr>
        <w:pStyle w:val="ListParagraph"/>
        <w:numPr>
          <w:ilvl w:val="0"/>
          <w:numId w:val="2"/>
        </w:numPr>
        <w:spacing w:after="120"/>
      </w:pPr>
      <w:r>
        <w:t xml:space="preserve">The health score and status — same one shown in Portfolio Review, unchanged.</w:t>
      </w:r>
    </w:p>
    <w:p>
      <w:pPr>
        <w:pStyle w:val="ListParagraph"/>
        <w:numPr>
          <w:ilvl w:val="0"/>
          <w:numId w:val="2"/>
        </w:numPr>
        <w:spacing w:after="120"/>
      </w:pPr>
      <w:r>
        <w:t xml:space="preserve">The "top things to look at" list — the exact same ranked list Portfolio Review already shows, not a new one.</w:t>
      </w:r>
    </w:p>
    <w:p>
      <w:pPr>
        <w:pStyle w:val="ListParagraph"/>
        <w:numPr>
          <w:ilvl w:val="0"/>
          <w:numId w:val="2"/>
        </w:numPr>
        <w:spacing w:after="120"/>
      </w:pPr>
      <w:r>
        <w:t xml:space="preserve">Upcoming events and opportunities — the same underlying groupings Today's Priorities already builds.</w:t>
      </w:r>
    </w:p>
    <w:p>
      <w:pPr>
        <w:pStyle w:val="ListParagraph"/>
        <w:numPr>
          <w:ilvl w:val="0"/>
          <w:numId w:val="2"/>
        </w:numPr>
        <w:spacing w:after="120"/>
      </w:pPr>
      <w:r>
        <w:t xml:space="preserve">Risk flags — the same concentration, buying power, and assignment checks already used elsewhere.</w:t>
      </w:r>
    </w:p>
    <w:p>
      <w:pPr>
        <w:pStyle w:val="Heading1"/>
        <w:spacing w:after="150" w:before="300"/>
      </w:pPr>
      <w:r>
        <w:rPr>
          <w:b/>
          <w:bCs/>
        </w:rPr>
        <w:t xml:space="preserve">What You'll See</w:t>
      </w:r>
    </w:p>
    <w:p>
      <w:pPr>
        <w:spacing w:after="200"/>
      </w:pPr>
      <w:r>
        <w:t xml:space="preserve">The new card sits above Portfolio Review and is broken into six short sections: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2937" w:val="clear"/>
            <w:tcMar>
              <w:top w:type="dxa" w:w="100"/>
              <w:left w:type="dxa" w:w="120"/>
              <w:bottom w:type="dxa" w:w="100"/>
              <w:right w:type="dxa" w:w="120"/>
            </w:tcMar>
          </w:tcPr>
          <w:p>
            <w:r>
              <w:rPr>
                <w:b/>
                <w:bCs/>
                <w:color w:val="FFFFFF"/>
                <w:sz w:val="20"/>
                <w:szCs w:val="20"/>
              </w:rPr>
              <w:t xml:space="preserve">Section</w:t>
            </w:r>
          </w:p>
        </w:tc>
        <w:tc>
          <w:tcPr>
            <w:tcW w:type="dxa" w:w="6600"/>
            <w:shd w:fill="1F2937" w:val="clear"/>
            <w:tcMar>
              <w:top w:type="dxa" w:w="100"/>
              <w:left w:type="dxa" w:w="120"/>
              <w:bottom w:type="dxa" w:w="100"/>
              <w:right w:type="dxa" w:w="120"/>
            </w:tcMar>
          </w:tcPr>
          <w:p>
            <w:r>
              <w:rPr>
                <w:b/>
                <w:bCs/>
                <w:color w:val="FFFFFF"/>
                <w:sz w:val="20"/>
                <w:szCs w:val="20"/>
              </w:rPr>
              <w:t xml:space="preserve">What It Answers</w:t>
            </w:r>
          </w:p>
        </w:tc>
      </w:tr>
      <w:tr>
        <w:tc>
          <w:tcPr>
            <w:tcW w:type="dxa" w:w="2600"/>
            <w:tcMar>
              <w:top w:type="dxa" w:w="100"/>
              <w:left w:type="dxa" w:w="120"/>
              <w:bottom w:type="dxa" w:w="100"/>
              <w:right w:type="dxa" w:w="120"/>
            </w:tcMar>
          </w:tcPr>
          <w:p>
            <w:r>
              <w:rPr>
                <w:b w:val="false"/>
                <w:bCs w:val="false"/>
                <w:sz w:val="20"/>
                <w:szCs w:val="20"/>
              </w:rPr>
              <w:t xml:space="preserve">Executive Summary</w:t>
            </w:r>
          </w:p>
        </w:tc>
        <w:tc>
          <w:tcPr>
            <w:tcW w:type="dxa" w:w="6600"/>
            <w:tcMar>
              <w:top w:type="dxa" w:w="100"/>
              <w:left w:type="dxa" w:w="120"/>
              <w:bottom w:type="dxa" w:w="100"/>
              <w:right w:type="dxa" w:w="120"/>
            </w:tcMar>
          </w:tcPr>
          <w:p>
            <w:r>
              <w:rPr>
                <w:b w:val="false"/>
                <w:bCs w:val="false"/>
                <w:sz w:val="20"/>
                <w:szCs w:val="20"/>
              </w:rPr>
              <w:t xml:space="preserve">One short paragraph: is the portfolio healthy, does anything need attention today, and is anything concentrated or coming up before the next review window.</w:t>
            </w:r>
          </w:p>
        </w:tc>
      </w:tr>
      <w:tr>
        <w:tc>
          <w:tcPr>
            <w:tcW w:type="dxa" w:w="2600"/>
            <w:tcMar>
              <w:top w:type="dxa" w:w="100"/>
              <w:left w:type="dxa" w:w="120"/>
              <w:bottom w:type="dxa" w:w="100"/>
              <w:right w:type="dxa" w:w="120"/>
            </w:tcMar>
          </w:tcPr>
          <w:p>
            <w:r>
              <w:rPr>
                <w:b w:val="false"/>
                <w:bCs w:val="false"/>
                <w:sz w:val="20"/>
                <w:szCs w:val="20"/>
              </w:rPr>
              <w:t xml:space="preserve">Today's Priorities</w:t>
            </w:r>
          </w:p>
        </w:tc>
        <w:tc>
          <w:tcPr>
            <w:tcW w:type="dxa" w:w="6600"/>
            <w:tcMar>
              <w:top w:type="dxa" w:w="100"/>
              <w:left w:type="dxa" w:w="120"/>
              <w:bottom w:type="dxa" w:w="100"/>
              <w:right w:type="dxa" w:w="120"/>
            </w:tcMar>
          </w:tcPr>
          <w:p>
            <w:r>
              <w:rPr>
                <w:b w:val="false"/>
                <w:bCs w:val="false"/>
                <w:sz w:val="20"/>
                <w:szCs w:val="20"/>
              </w:rPr>
              <w:t xml:space="preserve">The top 3–5 things to look at first, in the same priority order used everywhere else in the app.</w:t>
            </w:r>
          </w:p>
        </w:tc>
      </w:tr>
      <w:tr>
        <w:tc>
          <w:tcPr>
            <w:tcW w:type="dxa" w:w="2600"/>
            <w:tcMar>
              <w:top w:type="dxa" w:w="100"/>
              <w:left w:type="dxa" w:w="120"/>
              <w:bottom w:type="dxa" w:w="100"/>
              <w:right w:type="dxa" w:w="120"/>
            </w:tcMar>
          </w:tcPr>
          <w:p>
            <w:r>
              <w:rPr>
                <w:b w:val="false"/>
                <w:bCs w:val="false"/>
                <w:sz w:val="20"/>
                <w:szCs w:val="20"/>
              </w:rPr>
              <w:t xml:space="preserve">Portfolio Snapshot</w:t>
            </w:r>
          </w:p>
        </w:tc>
        <w:tc>
          <w:tcPr>
            <w:tcW w:type="dxa" w:w="6600"/>
            <w:tcMar>
              <w:top w:type="dxa" w:w="100"/>
              <w:left w:type="dxa" w:w="120"/>
              <w:bottom w:type="dxa" w:w="100"/>
              <w:right w:type="dxa" w:w="120"/>
            </w:tcMar>
          </w:tcPr>
          <w:p>
            <w:r>
              <w:rPr>
                <w:b w:val="false"/>
                <w:bCs w:val="false"/>
                <w:sz w:val="20"/>
                <w:szCs w:val="20"/>
              </w:rPr>
              <w:t xml:space="preserve">Health score and status, number of open positions, capital deployed, largest single-stock concentration, and average position health.</w:t>
            </w:r>
          </w:p>
        </w:tc>
      </w:tr>
      <w:tr>
        <w:tc>
          <w:tcPr>
            <w:tcW w:type="dxa" w:w="2600"/>
            <w:tcMar>
              <w:top w:type="dxa" w:w="100"/>
              <w:left w:type="dxa" w:w="120"/>
              <w:bottom w:type="dxa" w:w="100"/>
              <w:right w:type="dxa" w:w="120"/>
            </w:tcMar>
          </w:tcPr>
          <w:p>
            <w:r>
              <w:rPr>
                <w:b w:val="false"/>
                <w:bCs w:val="false"/>
                <w:sz w:val="20"/>
                <w:szCs w:val="20"/>
              </w:rPr>
              <w:t xml:space="preserve">Upcoming Events</w:t>
            </w:r>
          </w:p>
        </w:tc>
        <w:tc>
          <w:tcPr>
            <w:tcW w:type="dxa" w:w="6600"/>
            <w:tcMar>
              <w:top w:type="dxa" w:w="100"/>
              <w:left w:type="dxa" w:w="120"/>
              <w:bottom w:type="dxa" w:w="100"/>
              <w:right w:type="dxa" w:w="120"/>
            </w:tcMar>
          </w:tcPr>
          <w:p>
            <w:r>
              <w:rPr>
                <w:b w:val="false"/>
                <w:bCs w:val="false"/>
                <w:sz w:val="20"/>
                <w:szCs w:val="20"/>
              </w:rPr>
              <w:t xml:space="preserve">Positions approaching their management window, earnings before expiration, and decision reviews awaiting follow-up.</w:t>
            </w:r>
          </w:p>
        </w:tc>
      </w:tr>
      <w:tr>
        <w:tc>
          <w:tcPr>
            <w:tcW w:type="dxa" w:w="2600"/>
            <w:tcMar>
              <w:top w:type="dxa" w:w="100"/>
              <w:left w:type="dxa" w:w="120"/>
              <w:bottom w:type="dxa" w:w="100"/>
              <w:right w:type="dxa" w:w="120"/>
            </w:tcMar>
          </w:tcPr>
          <w:p>
            <w:r>
              <w:rPr>
                <w:b w:val="false"/>
                <w:bCs w:val="false"/>
                <w:sz w:val="20"/>
                <w:szCs w:val="20"/>
              </w:rPr>
              <w:t xml:space="preserve">Current Opportunities</w:t>
            </w:r>
          </w:p>
        </w:tc>
        <w:tc>
          <w:tcPr>
            <w:tcW w:type="dxa" w:w="6600"/>
            <w:tcMar>
              <w:top w:type="dxa" w:w="100"/>
              <w:left w:type="dxa" w:w="120"/>
              <w:bottom w:type="dxa" w:w="100"/>
              <w:right w:type="dxa" w:w="120"/>
            </w:tcMar>
          </w:tcPr>
          <w:p>
            <w:r>
              <w:rPr>
                <w:b w:val="false"/>
                <w:bCs w:val="false"/>
                <w:sz w:val="20"/>
                <w:szCs w:val="20"/>
              </w:rPr>
              <w:t xml:space="preserve">Counts of roll, covered call, and CSP opportunities, and whether new Screener candidates are available.</w:t>
            </w:r>
          </w:p>
        </w:tc>
      </w:tr>
      <w:tr>
        <w:tc>
          <w:tcPr>
            <w:tcW w:type="dxa" w:w="2600"/>
            <w:tcMar>
              <w:top w:type="dxa" w:w="100"/>
              <w:left w:type="dxa" w:w="120"/>
              <w:bottom w:type="dxa" w:w="100"/>
              <w:right w:type="dxa" w:w="120"/>
            </w:tcMar>
          </w:tcPr>
          <w:p>
            <w:r>
              <w:rPr>
                <w:b w:val="false"/>
                <w:bCs w:val="false"/>
                <w:sz w:val="20"/>
                <w:szCs w:val="20"/>
              </w:rPr>
              <w:t xml:space="preserve">Current Risks</w:t>
            </w:r>
          </w:p>
        </w:tc>
        <w:tc>
          <w:tcPr>
            <w:tcW w:type="dxa" w:w="6600"/>
            <w:tcMar>
              <w:top w:type="dxa" w:w="100"/>
              <w:left w:type="dxa" w:w="120"/>
              <w:bottom w:type="dxa" w:w="100"/>
              <w:right w:type="dxa" w:w="120"/>
            </w:tcMar>
          </w:tcPr>
          <w:p>
            <w:r>
              <w:rPr>
                <w:b w:val="false"/>
                <w:bCs w:val="false"/>
                <w:sz w:val="20"/>
                <w:szCs w:val="20"/>
              </w:rPr>
              <w:t xml:space="preserve">Active concentration, capital, assignment, and earnings exposure, plus any position needing immediate attention.</w:t>
            </w:r>
          </w:p>
        </w:tc>
      </w:tr>
    </w:tbl>
    <w:p>
      <w:pPr>
        <w:spacing w:before="200"/>
      </w:pPr>
    </w:p>
    <w:p>
      <w:pPr>
        <w:spacing w:after="200"/>
      </w:pPr>
      <w:r>
        <w:t xml:space="preserve">If there's nothing to report in a given section — no urgent priorities, no upcoming events, no active risks — that section shows a clean, plain message instead of an empty or confusing space.</w:t>
      </w:r>
    </w:p>
    <w:p>
      <w:pPr>
        <w:pStyle w:val="Heading1"/>
        <w:spacing w:after="150" w:before="300"/>
      </w:pPr>
      <w:r>
        <w:rPr>
          <w:b/>
          <w:bCs/>
        </w:rPr>
        <w:t xml:space="preserve">Example</w:t>
      </w:r>
    </w:p>
    <w:p>
      <w:pPr>
        <w:spacing w:after="200"/>
      </w:pPr>
      <w:r>
        <w:t xml:space="preserve">A typical Executive Summary sentence reads like this:</w:t>
      </w:r>
    </w:p>
    <w:p>
      <w:pPr>
        <w:pBdr>
          <w:left w:val="single" w:color="999999" w:sz="12" w:space="8"/>
        </w:pBdr>
        <w:spacing w:after="200"/>
        <w:ind w:left="431"/>
      </w:pPr>
      <w:r>
        <w:rPr>
          <w:i/>
          <w:iCs/>
        </w:rPr>
        <w:t xml:space="preserve">"Portfolio is Healthy. Two positions require attention today. Technology concentration remains elevated. No earnings events occur before the next management window."</w:t>
      </w:r>
    </w:p>
    <w:p>
      <w:pPr>
        <w:spacing w:after="200"/>
      </w:pPr>
      <w:r>
        <w:t xml:space="preserve">Every clause in that sentence is a direct read of an existing number or flag — nothing is guessed, summarized by AI, or phrased differently each time you load the page.</w:t>
      </w:r>
    </w:p>
    <w:p>
      <w:pPr>
        <w:pStyle w:val="Heading1"/>
        <w:spacing w:after="150" w:before="300"/>
      </w:pPr>
      <w:r>
        <w:rPr>
          <w:b/>
          <w:bCs/>
        </w:rPr>
        <w:t xml:space="preserve">Testing &amp; Validation</w:t>
      </w:r>
    </w:p>
    <w:p>
      <w:pPr>
        <w:pStyle w:val="ListParagraph"/>
        <w:numPr>
          <w:ilvl w:val="0"/>
          <w:numId w:val="2"/>
        </w:numPr>
        <w:spacing w:after="120"/>
      </w:pPr>
      <w:r>
        <w:t xml:space="preserve">All 43 automated test files across the codebase pass, including 21 new tests written for this feature.</w:t>
      </w:r>
    </w:p>
    <w:p>
      <w:pPr>
        <w:pStyle w:val="ListParagraph"/>
        <w:numPr>
          <w:ilvl w:val="0"/>
          <w:numId w:val="2"/>
        </w:numPr>
        <w:spacing w:after="120"/>
      </w:pPr>
      <w:r>
        <w:t xml:space="preserve">A full type-safety check of the codebase completed with zero errors.</w:t>
      </w:r>
    </w:p>
    <w:p>
      <w:pPr>
        <w:pStyle w:val="ListParagraph"/>
        <w:numPr>
          <w:ilvl w:val="0"/>
          <w:numId w:val="2"/>
        </w:numPr>
        <w:spacing w:after="120"/>
      </w:pPr>
      <w:r>
        <w:t xml:space="preserve">A production build check hit the same known environment limitation noted in the last summary (unrelated to this change); the live Vercel deployment build remains the final check.</w:t>
      </w:r>
    </w:p>
    <w:p>
      <w:pPr>
        <w:pStyle w:val="ListParagraph"/>
        <w:numPr>
          <w:ilvl w:val="0"/>
          <w:numId w:val="2"/>
        </w:numPr>
        <w:spacing w:after="120"/>
      </w:pPr>
      <w:r>
        <w:t xml:space="preserve">No screenshots were taken in this environment; a quick visual check once deployed is recommended, particularly for how the six-section layout collapses on a phone-sized screen.</w:t>
      </w:r>
    </w:p>
    <w:p>
      <w:pPr>
        <w:pStyle w:val="Heading1"/>
        <w:spacing w:after="150" w:before="300"/>
      </w:pPr>
      <w:r>
        <w:rPr>
          <w:b/>
          <w:bCs/>
        </w:rPr>
        <w:t xml:space="preserve">What's Intentionally Not Included</w:t>
      </w:r>
    </w:p>
    <w:p>
      <w:pPr>
        <w:spacing w:after="200"/>
      </w:pPr>
      <w:r>
        <w:t xml:space="preserve">To keep this sprint focused and low-risk, the following were explicitly left out, consistent with the plan: AI-written summaries, news or market-sentiment integration, trailing performance and win-rate history (already planned separately for Portfolio Review), and any kind of scheduled or emailed version of this briefing. All are reasonable future ideas, captured in the engineering report for later consideration.</w:t>
      </w:r>
    </w:p>
    <w:p>
      <w:pPr>
        <w:pStyle w:val="Heading1"/>
        <w:spacing w:after="150" w:before="300"/>
      </w:pPr>
      <w:r>
        <w:rPr>
          <w:b/>
          <w:bCs/>
        </w:rPr>
        <w:t xml:space="preserve">Recommendation</w:t>
      </w:r>
    </w:p>
    <w:p>
      <w:pPr>
        <w:spacing w:after="200"/>
      </w:pPr>
      <w:r>
        <w:t xml:space="preserve">This is ready to push, deploy, and review live. Because it sits directly on top of the same foundation as Portfolio Review, there's no additional risk introduced to anything shipped previously — it can be reviewed and, if needed, hidden or adjusted independently.</w:t>
      </w:r>
    </w:p>
    <w:p>
      <w:pPr>
        <w:pBdr>
          <w:top w:val="single" w:color="CCCCCC" w:sz="6"/>
        </w:pBdr>
        <w:spacing w:before="300"/>
      </w:pPr>
    </w:p>
    <w:p>
      <w:pPr>
        <w:spacing w:before="150"/>
      </w:pPr>
      <w:r>
        <w:rPr>
          <w:color w:val="888888"/>
          <w:sz w:val="18"/>
          <w:szCs w:val="18"/>
        </w:rPr>
        <w:t xml:space="preserve">Branch: feature/portfolio-intelligence   |   Commit: a22050d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2026-07-17T04:15:38.636Z</dcterms:created>
  <dcterms:modified xsi:type="dcterms:W3CDTF">2026-07-17T04:15:38.636Z</dcterms:modified>
</cp:coreProperties>
</file>

<file path=docProps/custom.xml><?xml version="1.0" encoding="utf-8"?>
<Properties xmlns="http://schemas.openxmlformats.org/officeDocument/2006/custom-properties" xmlns:vt="http://schemas.openxmlformats.org/officeDocument/2006/docPropsVTypes"/>
</file>