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C3355" w14:textId="77777777" w:rsidR="00344C14" w:rsidRDefault="00344C14">
      <w:pPr>
        <w:rPr>
          <w:color w:val="000000"/>
          <w:sz w:val="24"/>
          <w:szCs w:val="24"/>
        </w:rPr>
      </w:pPr>
    </w:p>
    <w:p w14:paraId="480A2FA0" w14:textId="77777777" w:rsidR="00344C14" w:rsidRDefault="002755DE">
      <w:pPr>
        <w:jc w:val="center"/>
        <w:rPr>
          <w:b/>
          <w:color w:val="000000"/>
          <w:sz w:val="24"/>
          <w:szCs w:val="24"/>
        </w:rPr>
      </w:pPr>
      <w:r>
        <w:rPr>
          <w:b/>
          <w:color w:val="000000"/>
          <w:sz w:val="24"/>
          <w:szCs w:val="24"/>
        </w:rPr>
        <w:t>Bioinformatics and Biostatistics Core</w:t>
      </w:r>
    </w:p>
    <w:p w14:paraId="49D1EE9B" w14:textId="77777777" w:rsidR="00344C14" w:rsidRDefault="002755DE">
      <w:pPr>
        <w:jc w:val="center"/>
        <w:rPr>
          <w:b/>
          <w:color w:val="000000"/>
          <w:sz w:val="24"/>
          <w:szCs w:val="24"/>
        </w:rPr>
      </w:pPr>
      <w:r>
        <w:rPr>
          <w:b/>
          <w:color w:val="000000"/>
          <w:sz w:val="24"/>
          <w:szCs w:val="24"/>
        </w:rPr>
        <w:t>Consultation Checklist</w:t>
      </w:r>
    </w:p>
    <w:p w14:paraId="15BB9637" w14:textId="77777777" w:rsidR="00344C14" w:rsidRDefault="00344C14">
      <w:pPr>
        <w:rPr>
          <w:color w:val="000000"/>
          <w:sz w:val="24"/>
          <w:szCs w:val="24"/>
        </w:rPr>
      </w:pPr>
    </w:p>
    <w:p w14:paraId="587E70A7" w14:textId="77777777" w:rsidR="00344C14" w:rsidRDefault="00344C14">
      <w:pPr>
        <w:rPr>
          <w:color w:val="000000"/>
          <w:sz w:val="24"/>
          <w:szCs w:val="24"/>
        </w:rPr>
      </w:pPr>
    </w:p>
    <w:p w14:paraId="05B4AB1C" w14:textId="2A821FF5" w:rsidR="00344C14" w:rsidRPr="00734B9B" w:rsidRDefault="002755DE">
      <w:pPr>
        <w:rPr>
          <w:bCs/>
          <w:color w:val="000000"/>
          <w:sz w:val="24"/>
          <w:szCs w:val="24"/>
        </w:rPr>
      </w:pPr>
      <w:r>
        <w:rPr>
          <w:b/>
          <w:color w:val="000000"/>
          <w:sz w:val="24"/>
          <w:szCs w:val="24"/>
        </w:rPr>
        <w:t xml:space="preserve">JIRA ServiceDesk Request Ticket Code: </w:t>
      </w:r>
      <w:r w:rsidR="003314EE">
        <w:rPr>
          <w:bCs/>
          <w:color w:val="000000"/>
          <w:sz w:val="24"/>
          <w:szCs w:val="24"/>
        </w:rPr>
        <w:t>S</w:t>
      </w:r>
    </w:p>
    <w:p w14:paraId="7F150EFC" w14:textId="77777777" w:rsidR="00344C14" w:rsidRDefault="00344C14">
      <w:pPr>
        <w:rPr>
          <w:b/>
          <w:color w:val="000000"/>
          <w:sz w:val="24"/>
          <w:szCs w:val="24"/>
        </w:rPr>
      </w:pPr>
    </w:p>
    <w:p w14:paraId="65ECD421" w14:textId="3C705D02" w:rsidR="00344C14" w:rsidRDefault="002755DE">
      <w:pPr>
        <w:rPr>
          <w:color w:val="000000"/>
          <w:sz w:val="24"/>
          <w:szCs w:val="24"/>
        </w:rPr>
      </w:pPr>
      <w:r>
        <w:rPr>
          <w:b/>
          <w:color w:val="000000"/>
          <w:sz w:val="24"/>
          <w:szCs w:val="24"/>
        </w:rPr>
        <w:t>Date</w:t>
      </w:r>
      <w:r>
        <w:rPr>
          <w:color w:val="000000"/>
          <w:sz w:val="24"/>
          <w:szCs w:val="24"/>
        </w:rPr>
        <w:t xml:space="preserve">: </w:t>
      </w:r>
      <w:r w:rsidR="004F521B">
        <w:rPr>
          <w:color w:val="000000"/>
          <w:sz w:val="24"/>
          <w:szCs w:val="24"/>
        </w:rPr>
        <w:t>2</w:t>
      </w:r>
      <w:r w:rsidR="009A74E3">
        <w:rPr>
          <w:color w:val="000000"/>
          <w:sz w:val="24"/>
          <w:szCs w:val="24"/>
        </w:rPr>
        <w:t>7</w:t>
      </w:r>
      <w:r w:rsidR="004F521B">
        <w:rPr>
          <w:color w:val="000000"/>
          <w:sz w:val="24"/>
          <w:szCs w:val="24"/>
        </w:rPr>
        <w:t xml:space="preserve"> </w:t>
      </w:r>
      <w:r w:rsidR="009A74E3">
        <w:rPr>
          <w:color w:val="000000"/>
          <w:sz w:val="24"/>
          <w:szCs w:val="24"/>
        </w:rPr>
        <w:t xml:space="preserve">APR </w:t>
      </w:r>
      <w:r w:rsidR="004F521B">
        <w:rPr>
          <w:color w:val="000000"/>
          <w:sz w:val="24"/>
          <w:szCs w:val="24"/>
        </w:rPr>
        <w:t>2020</w:t>
      </w:r>
    </w:p>
    <w:p w14:paraId="4992D61F" w14:textId="77777777" w:rsidR="00344C14" w:rsidRDefault="00344C14">
      <w:pPr>
        <w:rPr>
          <w:b/>
          <w:color w:val="000000"/>
          <w:sz w:val="24"/>
          <w:szCs w:val="24"/>
        </w:rPr>
      </w:pPr>
    </w:p>
    <w:p w14:paraId="5FCFFD24" w14:textId="7A59A9EB" w:rsidR="00344C14" w:rsidRDefault="002755DE">
      <w:pPr>
        <w:rPr>
          <w:color w:val="000000"/>
          <w:sz w:val="24"/>
          <w:szCs w:val="24"/>
        </w:rPr>
      </w:pPr>
      <w:r>
        <w:rPr>
          <w:b/>
          <w:color w:val="000000"/>
          <w:sz w:val="24"/>
          <w:szCs w:val="24"/>
        </w:rPr>
        <w:t>Client</w:t>
      </w:r>
      <w:r>
        <w:rPr>
          <w:color w:val="000000"/>
          <w:sz w:val="24"/>
          <w:szCs w:val="24"/>
        </w:rPr>
        <w:t xml:space="preserve">: </w:t>
      </w:r>
      <w:r w:rsidR="00815711">
        <w:rPr>
          <w:color w:val="000000"/>
          <w:sz w:val="24"/>
          <w:szCs w:val="24"/>
        </w:rPr>
        <w:t>Gerd Pfeifer</w:t>
      </w:r>
    </w:p>
    <w:p w14:paraId="5CD8A63D" w14:textId="77777777" w:rsidR="00815711" w:rsidRDefault="00815711">
      <w:pPr>
        <w:rPr>
          <w:b/>
          <w:color w:val="000000"/>
          <w:sz w:val="24"/>
          <w:szCs w:val="24"/>
        </w:rPr>
      </w:pPr>
    </w:p>
    <w:p w14:paraId="492F3BC6" w14:textId="61F35974" w:rsidR="00344C14" w:rsidRPr="00815711" w:rsidRDefault="002755DE">
      <w:pPr>
        <w:rPr>
          <w:bCs/>
          <w:color w:val="000000"/>
          <w:sz w:val="24"/>
          <w:szCs w:val="24"/>
        </w:rPr>
      </w:pPr>
      <w:r>
        <w:rPr>
          <w:b/>
          <w:color w:val="000000"/>
          <w:sz w:val="24"/>
          <w:szCs w:val="24"/>
        </w:rPr>
        <w:t xml:space="preserve">Is this related to a previous BBC project: </w:t>
      </w:r>
      <w:r w:rsidR="000E18DD">
        <w:rPr>
          <w:bCs/>
          <w:color w:val="000000"/>
          <w:sz w:val="24"/>
          <w:szCs w:val="24"/>
        </w:rPr>
        <w:t>VBCS-214 (</w:t>
      </w:r>
      <w:r w:rsidR="000E18DD" w:rsidRPr="000E18DD">
        <w:rPr>
          <w:bCs/>
          <w:color w:val="000000"/>
          <w:sz w:val="24"/>
          <w:szCs w:val="24"/>
        </w:rPr>
        <w:t>PFEG_20190808_CDseq</w:t>
      </w:r>
      <w:r w:rsidR="000E18DD">
        <w:rPr>
          <w:bCs/>
          <w:color w:val="000000"/>
          <w:sz w:val="24"/>
          <w:szCs w:val="24"/>
        </w:rPr>
        <w:t>)</w:t>
      </w:r>
    </w:p>
    <w:p w14:paraId="3414F1C6" w14:textId="77777777" w:rsidR="00344C14" w:rsidRDefault="00344C14">
      <w:pPr>
        <w:rPr>
          <w:b/>
          <w:color w:val="000000"/>
          <w:sz w:val="24"/>
          <w:szCs w:val="24"/>
        </w:rPr>
      </w:pPr>
    </w:p>
    <w:p w14:paraId="228C006A" w14:textId="02656E21" w:rsidR="00344C14" w:rsidRDefault="002755DE">
      <w:pPr>
        <w:rPr>
          <w:color w:val="000000"/>
          <w:sz w:val="24"/>
          <w:szCs w:val="24"/>
        </w:rPr>
      </w:pPr>
      <w:r>
        <w:rPr>
          <w:b/>
          <w:color w:val="000000"/>
          <w:sz w:val="24"/>
          <w:szCs w:val="24"/>
        </w:rPr>
        <w:t>The data</w:t>
      </w:r>
      <w:r>
        <w:rPr>
          <w:b/>
          <w:color w:val="000000"/>
          <w:sz w:val="28"/>
          <w:szCs w:val="28"/>
        </w:rPr>
        <w:t xml:space="preserve"> </w:t>
      </w:r>
      <w:r>
        <w:rPr>
          <w:color w:val="000000"/>
          <w:sz w:val="24"/>
          <w:szCs w:val="24"/>
        </w:rPr>
        <w:t xml:space="preserve">(what are the data? Covariates? number of samples, design, species &amp; preferred reference genome if applicable): </w:t>
      </w:r>
    </w:p>
    <w:p w14:paraId="083E8B0F" w14:textId="6269723A" w:rsidR="00F47609" w:rsidRDefault="00F47609">
      <w:pPr>
        <w:rPr>
          <w:color w:val="000000"/>
          <w:sz w:val="24"/>
          <w:szCs w:val="24"/>
        </w:rPr>
      </w:pPr>
    </w:p>
    <w:p w14:paraId="0F698D11" w14:textId="428E6BFA" w:rsidR="00734B9B" w:rsidRPr="00F47609" w:rsidRDefault="00815711" w:rsidP="00F47609">
      <w:pPr>
        <w:pStyle w:val="ListParagraph"/>
        <w:numPr>
          <w:ilvl w:val="0"/>
          <w:numId w:val="5"/>
        </w:numPr>
        <w:rPr>
          <w:color w:val="000000"/>
          <w:sz w:val="24"/>
          <w:szCs w:val="24"/>
        </w:rPr>
      </w:pPr>
      <w:r>
        <w:rPr>
          <w:color w:val="000000"/>
          <w:sz w:val="24"/>
          <w:szCs w:val="24"/>
        </w:rPr>
        <w:t>gDNA libraries</w:t>
      </w:r>
    </w:p>
    <w:p w14:paraId="40EAE6AB" w14:textId="317127F7" w:rsidR="00734B9B" w:rsidRPr="00F47609" w:rsidRDefault="00734B9B" w:rsidP="00F47609">
      <w:pPr>
        <w:pStyle w:val="ListParagraph"/>
        <w:numPr>
          <w:ilvl w:val="0"/>
          <w:numId w:val="5"/>
        </w:numPr>
        <w:rPr>
          <w:bCs/>
          <w:color w:val="000000"/>
          <w:sz w:val="24"/>
          <w:szCs w:val="24"/>
        </w:rPr>
      </w:pPr>
      <w:r w:rsidRPr="00F47609">
        <w:rPr>
          <w:bCs/>
          <w:color w:val="000000"/>
          <w:sz w:val="24"/>
          <w:szCs w:val="24"/>
        </w:rPr>
        <w:t>Species: Mouse</w:t>
      </w:r>
    </w:p>
    <w:p w14:paraId="39B30574" w14:textId="02D79525" w:rsidR="00734B9B" w:rsidRDefault="00734B9B" w:rsidP="00F47609">
      <w:pPr>
        <w:pStyle w:val="ListParagraph"/>
        <w:numPr>
          <w:ilvl w:val="0"/>
          <w:numId w:val="5"/>
        </w:numPr>
        <w:rPr>
          <w:bCs/>
          <w:color w:val="000000"/>
          <w:sz w:val="24"/>
          <w:szCs w:val="24"/>
        </w:rPr>
      </w:pPr>
      <w:r w:rsidRPr="00F47609">
        <w:rPr>
          <w:bCs/>
          <w:color w:val="000000"/>
          <w:sz w:val="24"/>
          <w:szCs w:val="24"/>
        </w:rPr>
        <w:t>Reference: mm10</w:t>
      </w:r>
    </w:p>
    <w:p w14:paraId="37D610C6" w14:textId="77777777" w:rsidR="0042409C" w:rsidRDefault="0042409C" w:rsidP="0042409C">
      <w:pPr>
        <w:pStyle w:val="ListParagraph"/>
        <w:numPr>
          <w:ilvl w:val="0"/>
          <w:numId w:val="5"/>
        </w:numPr>
        <w:rPr>
          <w:bCs/>
          <w:color w:val="000000"/>
          <w:sz w:val="24"/>
          <w:szCs w:val="24"/>
        </w:rPr>
      </w:pPr>
      <w:r>
        <w:rPr>
          <w:bCs/>
          <w:color w:val="000000"/>
          <w:sz w:val="24"/>
          <w:szCs w:val="24"/>
        </w:rPr>
        <w:t>Samples:</w:t>
      </w:r>
    </w:p>
    <w:p w14:paraId="122FB5AB" w14:textId="77777777" w:rsidR="0042409C" w:rsidRPr="0042409C" w:rsidRDefault="0042409C" w:rsidP="0042409C">
      <w:pPr>
        <w:pStyle w:val="ListParagraph"/>
        <w:numPr>
          <w:ilvl w:val="1"/>
          <w:numId w:val="5"/>
        </w:numPr>
        <w:rPr>
          <w:bCs/>
          <w:color w:val="000000"/>
          <w:sz w:val="24"/>
          <w:szCs w:val="24"/>
        </w:rPr>
      </w:pPr>
      <w:r w:rsidRPr="0042409C">
        <w:rPr>
          <w:color w:val="000000" w:themeColor="text1"/>
        </w:rPr>
        <w:t>UVB irradiated mouse MEF cells (MEF-UVB)</w:t>
      </w:r>
    </w:p>
    <w:p w14:paraId="7C7DC884" w14:textId="7256B5EF" w:rsidR="0042409C" w:rsidRPr="0042409C" w:rsidRDefault="0042409C" w:rsidP="0042409C">
      <w:pPr>
        <w:pStyle w:val="ListParagraph"/>
        <w:numPr>
          <w:ilvl w:val="1"/>
          <w:numId w:val="5"/>
        </w:numPr>
        <w:rPr>
          <w:bCs/>
          <w:color w:val="000000"/>
          <w:sz w:val="24"/>
          <w:szCs w:val="24"/>
        </w:rPr>
      </w:pPr>
      <w:r w:rsidRPr="0042409C">
        <w:rPr>
          <w:color w:val="000000" w:themeColor="text1"/>
        </w:rPr>
        <w:t>Non-treated MEF (MEF-NT).</w:t>
      </w:r>
    </w:p>
    <w:tbl>
      <w:tblPr>
        <w:tblStyle w:val="TableGrid"/>
        <w:tblW w:w="8549" w:type="dxa"/>
        <w:tblInd w:w="1124" w:type="dxa"/>
        <w:tblLook w:val="04A0" w:firstRow="1" w:lastRow="0" w:firstColumn="1" w:lastColumn="0" w:noHBand="0" w:noVBand="1"/>
      </w:tblPr>
      <w:tblGrid>
        <w:gridCol w:w="1490"/>
        <w:gridCol w:w="1444"/>
        <w:gridCol w:w="1632"/>
        <w:gridCol w:w="1463"/>
        <w:gridCol w:w="1350"/>
        <w:gridCol w:w="1170"/>
      </w:tblGrid>
      <w:tr w:rsidR="0042409C" w14:paraId="453BEDA7" w14:textId="77777777" w:rsidTr="0042409C">
        <w:tc>
          <w:tcPr>
            <w:tcW w:w="1490" w:type="dxa"/>
          </w:tcPr>
          <w:p w14:paraId="19F66DA5" w14:textId="7256B5EF" w:rsidR="0042409C" w:rsidRPr="0042409C" w:rsidRDefault="0042409C" w:rsidP="0042409C">
            <w:pPr>
              <w:rPr>
                <w:bCs/>
                <w:color w:val="000000"/>
                <w:sz w:val="24"/>
                <w:szCs w:val="24"/>
              </w:rPr>
            </w:pPr>
            <w:r w:rsidRPr="0042409C">
              <w:rPr>
                <w:rFonts w:cs="Times"/>
                <w:bCs/>
                <w:color w:val="000000" w:themeColor="text1"/>
              </w:rPr>
              <w:t>Sample ID</w:t>
            </w:r>
          </w:p>
        </w:tc>
        <w:tc>
          <w:tcPr>
            <w:tcW w:w="1444" w:type="dxa"/>
          </w:tcPr>
          <w:p w14:paraId="1DD914F5" w14:textId="736CF9F2" w:rsidR="0042409C" w:rsidRPr="0042409C" w:rsidRDefault="0042409C" w:rsidP="0042409C">
            <w:pPr>
              <w:rPr>
                <w:bCs/>
                <w:color w:val="000000"/>
                <w:sz w:val="24"/>
                <w:szCs w:val="24"/>
              </w:rPr>
            </w:pPr>
            <w:r w:rsidRPr="0042409C">
              <w:rPr>
                <w:rFonts w:cs="Times"/>
                <w:bCs/>
                <w:color w:val="000000" w:themeColor="text1"/>
              </w:rPr>
              <w:t>External ID</w:t>
            </w:r>
          </w:p>
        </w:tc>
        <w:tc>
          <w:tcPr>
            <w:tcW w:w="1632" w:type="dxa"/>
          </w:tcPr>
          <w:p w14:paraId="2C05AF75" w14:textId="2056487A" w:rsidR="0042409C" w:rsidRPr="0042409C" w:rsidRDefault="0042409C" w:rsidP="0042409C">
            <w:pPr>
              <w:rPr>
                <w:bCs/>
                <w:color w:val="000000"/>
                <w:sz w:val="24"/>
                <w:szCs w:val="24"/>
              </w:rPr>
            </w:pPr>
            <w:r w:rsidRPr="0042409C">
              <w:rPr>
                <w:rFonts w:cs="Times"/>
                <w:bCs/>
                <w:color w:val="000000" w:themeColor="text1"/>
              </w:rPr>
              <w:t>Index 1</w:t>
            </w:r>
          </w:p>
        </w:tc>
        <w:tc>
          <w:tcPr>
            <w:tcW w:w="1463" w:type="dxa"/>
          </w:tcPr>
          <w:p w14:paraId="7128D4AC" w14:textId="2E2658F5" w:rsidR="0042409C" w:rsidRPr="0042409C" w:rsidRDefault="0042409C" w:rsidP="0042409C">
            <w:pPr>
              <w:rPr>
                <w:bCs/>
                <w:color w:val="000000"/>
                <w:sz w:val="24"/>
                <w:szCs w:val="24"/>
              </w:rPr>
            </w:pPr>
            <w:r w:rsidRPr="0042409C">
              <w:rPr>
                <w:rFonts w:cs="Times"/>
                <w:bCs/>
                <w:color w:val="000000" w:themeColor="text1"/>
              </w:rPr>
              <w:t>Index 2</w:t>
            </w:r>
          </w:p>
        </w:tc>
        <w:tc>
          <w:tcPr>
            <w:tcW w:w="1350" w:type="dxa"/>
          </w:tcPr>
          <w:p w14:paraId="4673BB07" w14:textId="5CA9F9F4" w:rsidR="0042409C" w:rsidRPr="0042409C" w:rsidRDefault="0042409C" w:rsidP="0042409C">
            <w:pPr>
              <w:rPr>
                <w:bCs/>
                <w:color w:val="000000"/>
                <w:sz w:val="24"/>
                <w:szCs w:val="24"/>
              </w:rPr>
            </w:pPr>
            <w:r w:rsidRPr="0042409C">
              <w:rPr>
                <w:rFonts w:cs="Times"/>
                <w:bCs/>
                <w:color w:val="000000" w:themeColor="text1"/>
              </w:rPr>
              <w:t>Total reads</w:t>
            </w:r>
          </w:p>
        </w:tc>
        <w:tc>
          <w:tcPr>
            <w:tcW w:w="1170" w:type="dxa"/>
          </w:tcPr>
          <w:p w14:paraId="60DACEC9" w14:textId="1DDC47F9" w:rsidR="0042409C" w:rsidRPr="0042409C" w:rsidRDefault="0042409C" w:rsidP="0042409C">
            <w:pPr>
              <w:rPr>
                <w:bCs/>
                <w:color w:val="000000"/>
                <w:sz w:val="24"/>
                <w:szCs w:val="24"/>
              </w:rPr>
            </w:pPr>
            <w:r w:rsidRPr="0042409C">
              <w:rPr>
                <w:rFonts w:cs="Times"/>
                <w:bCs/>
                <w:color w:val="000000" w:themeColor="text1"/>
              </w:rPr>
              <w:t>File size</w:t>
            </w:r>
          </w:p>
        </w:tc>
      </w:tr>
      <w:tr w:rsidR="0042409C" w14:paraId="28D8A8DA" w14:textId="77777777" w:rsidTr="0042409C">
        <w:tc>
          <w:tcPr>
            <w:tcW w:w="1490" w:type="dxa"/>
          </w:tcPr>
          <w:p w14:paraId="27190A71" w14:textId="73581FE9" w:rsidR="0042409C" w:rsidRPr="0042409C" w:rsidRDefault="0042409C" w:rsidP="0042409C">
            <w:pPr>
              <w:rPr>
                <w:bCs/>
                <w:color w:val="000000"/>
                <w:sz w:val="24"/>
                <w:szCs w:val="24"/>
              </w:rPr>
            </w:pPr>
            <w:r w:rsidRPr="0042409C">
              <w:rPr>
                <w:rFonts w:cs="Times"/>
                <w:bCs/>
                <w:color w:val="000000" w:themeColor="text1"/>
              </w:rPr>
              <w:t>FT-SA58948</w:t>
            </w:r>
          </w:p>
        </w:tc>
        <w:tc>
          <w:tcPr>
            <w:tcW w:w="1444" w:type="dxa"/>
          </w:tcPr>
          <w:p w14:paraId="06B264AD" w14:textId="3FBBA19E" w:rsidR="0042409C" w:rsidRPr="0042409C" w:rsidRDefault="0042409C" w:rsidP="0042409C">
            <w:pPr>
              <w:rPr>
                <w:bCs/>
                <w:color w:val="000000"/>
                <w:sz w:val="24"/>
                <w:szCs w:val="24"/>
              </w:rPr>
            </w:pPr>
            <w:r w:rsidRPr="0042409C">
              <w:rPr>
                <w:rFonts w:cs="Times"/>
                <w:bCs/>
                <w:color w:val="000000" w:themeColor="text1"/>
              </w:rPr>
              <w:t>MEF-UVB</w:t>
            </w:r>
          </w:p>
        </w:tc>
        <w:tc>
          <w:tcPr>
            <w:tcW w:w="1632" w:type="dxa"/>
          </w:tcPr>
          <w:p w14:paraId="04CCE93D" w14:textId="32ECBA73" w:rsidR="0042409C" w:rsidRPr="0042409C" w:rsidRDefault="0042409C" w:rsidP="0042409C">
            <w:pPr>
              <w:rPr>
                <w:bCs/>
                <w:color w:val="000000"/>
                <w:sz w:val="24"/>
                <w:szCs w:val="24"/>
              </w:rPr>
            </w:pPr>
            <w:r w:rsidRPr="0042409C">
              <w:rPr>
                <w:rFonts w:cs="Times"/>
                <w:color w:val="000000" w:themeColor="text1"/>
              </w:rPr>
              <w:t>CGCTCATT</w:t>
            </w:r>
          </w:p>
        </w:tc>
        <w:tc>
          <w:tcPr>
            <w:tcW w:w="1463" w:type="dxa"/>
          </w:tcPr>
          <w:p w14:paraId="441C78F7" w14:textId="6B5866BA" w:rsidR="0042409C" w:rsidRPr="0042409C" w:rsidRDefault="0042409C" w:rsidP="0042409C">
            <w:pPr>
              <w:rPr>
                <w:bCs/>
                <w:color w:val="000000"/>
                <w:sz w:val="24"/>
                <w:szCs w:val="24"/>
              </w:rPr>
            </w:pPr>
            <w:r w:rsidRPr="0042409C">
              <w:rPr>
                <w:rFonts w:cs="Times"/>
                <w:color w:val="000000" w:themeColor="text1"/>
              </w:rPr>
              <w:t>GGCTCTGA</w:t>
            </w:r>
          </w:p>
        </w:tc>
        <w:tc>
          <w:tcPr>
            <w:tcW w:w="1350" w:type="dxa"/>
          </w:tcPr>
          <w:p w14:paraId="1359713A" w14:textId="5B167563" w:rsidR="0042409C" w:rsidRPr="0042409C" w:rsidRDefault="0042409C" w:rsidP="0042409C">
            <w:pPr>
              <w:rPr>
                <w:bCs/>
                <w:color w:val="000000"/>
                <w:sz w:val="24"/>
                <w:szCs w:val="24"/>
              </w:rPr>
            </w:pPr>
            <w:r w:rsidRPr="0042409C">
              <w:rPr>
                <w:rFonts w:cs="Times"/>
                <w:color w:val="000000" w:themeColor="text1"/>
              </w:rPr>
              <w:t>1.4B</w:t>
            </w:r>
          </w:p>
        </w:tc>
        <w:tc>
          <w:tcPr>
            <w:tcW w:w="1170" w:type="dxa"/>
          </w:tcPr>
          <w:p w14:paraId="69597B36" w14:textId="296F5A06" w:rsidR="0042409C" w:rsidRPr="0042409C" w:rsidRDefault="0042409C" w:rsidP="0042409C">
            <w:pPr>
              <w:rPr>
                <w:bCs/>
                <w:color w:val="000000"/>
                <w:sz w:val="24"/>
                <w:szCs w:val="24"/>
              </w:rPr>
            </w:pPr>
            <w:r w:rsidRPr="0042409C">
              <w:rPr>
                <w:rFonts w:cs="Times"/>
                <w:color w:val="000000" w:themeColor="text1"/>
              </w:rPr>
              <w:t>200G</w:t>
            </w:r>
          </w:p>
        </w:tc>
      </w:tr>
      <w:tr w:rsidR="0042409C" w14:paraId="5B951964" w14:textId="77777777" w:rsidTr="0042409C">
        <w:tc>
          <w:tcPr>
            <w:tcW w:w="1490" w:type="dxa"/>
          </w:tcPr>
          <w:p w14:paraId="1AD26BB2" w14:textId="470EE9F6" w:rsidR="0042409C" w:rsidRPr="0042409C" w:rsidRDefault="0042409C" w:rsidP="0042409C">
            <w:pPr>
              <w:rPr>
                <w:bCs/>
                <w:color w:val="000000"/>
                <w:sz w:val="24"/>
                <w:szCs w:val="24"/>
              </w:rPr>
            </w:pPr>
            <w:r w:rsidRPr="0042409C">
              <w:rPr>
                <w:rFonts w:cs="Times"/>
                <w:color w:val="000000" w:themeColor="text1"/>
              </w:rPr>
              <w:t>FT-SA58949</w:t>
            </w:r>
          </w:p>
        </w:tc>
        <w:tc>
          <w:tcPr>
            <w:tcW w:w="1444" w:type="dxa"/>
          </w:tcPr>
          <w:p w14:paraId="157A3D7F" w14:textId="7B5C77BC" w:rsidR="0042409C" w:rsidRPr="0042409C" w:rsidRDefault="0042409C" w:rsidP="0042409C">
            <w:pPr>
              <w:rPr>
                <w:bCs/>
                <w:color w:val="000000"/>
                <w:sz w:val="24"/>
                <w:szCs w:val="24"/>
              </w:rPr>
            </w:pPr>
            <w:r w:rsidRPr="0042409C">
              <w:rPr>
                <w:rFonts w:cs="Times"/>
                <w:color w:val="000000" w:themeColor="text1"/>
              </w:rPr>
              <w:t>MEF-NT</w:t>
            </w:r>
          </w:p>
        </w:tc>
        <w:tc>
          <w:tcPr>
            <w:tcW w:w="1632" w:type="dxa"/>
          </w:tcPr>
          <w:p w14:paraId="0D95DC99" w14:textId="065A76AA" w:rsidR="0042409C" w:rsidRPr="0042409C" w:rsidRDefault="0042409C" w:rsidP="0042409C">
            <w:pPr>
              <w:rPr>
                <w:bCs/>
                <w:color w:val="000000"/>
                <w:sz w:val="24"/>
                <w:szCs w:val="24"/>
              </w:rPr>
            </w:pPr>
            <w:r w:rsidRPr="0042409C">
              <w:rPr>
                <w:rFonts w:cs="Times"/>
                <w:color w:val="000000" w:themeColor="text1"/>
              </w:rPr>
              <w:t>ATTACTCG</w:t>
            </w:r>
          </w:p>
        </w:tc>
        <w:tc>
          <w:tcPr>
            <w:tcW w:w="1463" w:type="dxa"/>
          </w:tcPr>
          <w:p w14:paraId="493C9A8B" w14:textId="1EE7483D" w:rsidR="0042409C" w:rsidRPr="0042409C" w:rsidRDefault="0042409C" w:rsidP="0042409C">
            <w:pPr>
              <w:rPr>
                <w:bCs/>
                <w:color w:val="000000"/>
                <w:sz w:val="24"/>
                <w:szCs w:val="24"/>
              </w:rPr>
            </w:pPr>
            <w:r w:rsidRPr="0042409C">
              <w:rPr>
                <w:rFonts w:cs="Times"/>
                <w:color w:val="000000"/>
              </w:rPr>
              <w:t>GGCTCTGA</w:t>
            </w:r>
          </w:p>
        </w:tc>
        <w:tc>
          <w:tcPr>
            <w:tcW w:w="1350" w:type="dxa"/>
          </w:tcPr>
          <w:p w14:paraId="3501B2D8" w14:textId="67F63CB7" w:rsidR="0042409C" w:rsidRPr="0042409C" w:rsidRDefault="0042409C" w:rsidP="0042409C">
            <w:pPr>
              <w:rPr>
                <w:bCs/>
                <w:color w:val="000000"/>
                <w:sz w:val="24"/>
                <w:szCs w:val="24"/>
              </w:rPr>
            </w:pPr>
            <w:r w:rsidRPr="0042409C">
              <w:rPr>
                <w:rFonts w:cs="Times"/>
                <w:color w:val="000000"/>
              </w:rPr>
              <w:t>0.1B</w:t>
            </w:r>
          </w:p>
        </w:tc>
        <w:tc>
          <w:tcPr>
            <w:tcW w:w="1170" w:type="dxa"/>
          </w:tcPr>
          <w:p w14:paraId="1D36D4F9" w14:textId="6935B12C" w:rsidR="0042409C" w:rsidRPr="0042409C" w:rsidRDefault="0042409C" w:rsidP="0042409C">
            <w:pPr>
              <w:rPr>
                <w:bCs/>
                <w:color w:val="000000"/>
                <w:sz w:val="24"/>
                <w:szCs w:val="24"/>
              </w:rPr>
            </w:pPr>
            <w:r w:rsidRPr="0042409C">
              <w:rPr>
                <w:rFonts w:cs="Times"/>
                <w:color w:val="000000"/>
              </w:rPr>
              <w:t>10G</w:t>
            </w:r>
          </w:p>
        </w:tc>
      </w:tr>
    </w:tbl>
    <w:p w14:paraId="4AE1D492" w14:textId="77777777" w:rsidR="0042409C" w:rsidRPr="0042409C" w:rsidRDefault="0042409C" w:rsidP="0042409C">
      <w:pPr>
        <w:ind w:firstLine="720"/>
        <w:rPr>
          <w:rFonts w:eastAsia="Times New Roman" w:cs="Times New Roman"/>
          <w:color w:val="000000"/>
          <w:lang w:eastAsia="ko-KR"/>
        </w:rPr>
      </w:pPr>
      <w:r>
        <w:rPr>
          <w:noProof/>
          <w:lang w:eastAsia="ko-KR"/>
        </w:rPr>
        <w:drawing>
          <wp:inline distT="0" distB="0" distL="0" distR="0" wp14:anchorId="54A4B104" wp14:editId="5285E3C4">
            <wp:extent cx="6354052" cy="1693627"/>
            <wp:effectExtent l="0" t="0" r="0" b="0"/>
            <wp:docPr id="2" name="Picture 2" descr="../../../../Desktop/Screen%20Shot%202020-04-27%20at%2011.00.24%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4-27%20at%2011.00.24%2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8905" cy="1700251"/>
                    </a:xfrm>
                    <a:prstGeom prst="rect">
                      <a:avLst/>
                    </a:prstGeom>
                    <a:noFill/>
                    <a:ln>
                      <a:noFill/>
                    </a:ln>
                  </pic:spPr>
                </pic:pic>
              </a:graphicData>
            </a:graphic>
          </wp:inline>
        </w:drawing>
      </w:r>
    </w:p>
    <w:p w14:paraId="5D0F2EAE" w14:textId="77777777" w:rsidR="0042409C" w:rsidRPr="0042409C" w:rsidRDefault="0042409C" w:rsidP="0042409C">
      <w:pPr>
        <w:pStyle w:val="ListParagraph"/>
        <w:ind w:left="1440"/>
        <w:rPr>
          <w:bCs/>
          <w:color w:val="000000"/>
          <w:sz w:val="24"/>
          <w:szCs w:val="24"/>
        </w:rPr>
      </w:pPr>
    </w:p>
    <w:p w14:paraId="14AFEB64" w14:textId="77777777" w:rsidR="004F521B" w:rsidRDefault="004F521B">
      <w:pPr>
        <w:rPr>
          <w:bCs/>
          <w:color w:val="000000"/>
          <w:sz w:val="24"/>
          <w:szCs w:val="24"/>
        </w:rPr>
      </w:pPr>
    </w:p>
    <w:p w14:paraId="1A7A626E" w14:textId="29EB5923" w:rsidR="004F521B" w:rsidRDefault="002755DE">
      <w:pPr>
        <w:rPr>
          <w:color w:val="000000"/>
          <w:sz w:val="24"/>
          <w:szCs w:val="24"/>
        </w:rPr>
      </w:pPr>
      <w:r>
        <w:rPr>
          <w:b/>
          <w:color w:val="000000"/>
          <w:sz w:val="24"/>
          <w:szCs w:val="24"/>
        </w:rPr>
        <w:t xml:space="preserve">Analysis plan </w:t>
      </w:r>
      <w:r>
        <w:rPr>
          <w:color w:val="000000"/>
          <w:sz w:val="24"/>
          <w:szCs w:val="24"/>
        </w:rPr>
        <w:t>(gross objective, methods, and tools):</w:t>
      </w:r>
    </w:p>
    <w:p w14:paraId="44C764F0" w14:textId="77777777" w:rsidR="004F521B" w:rsidRDefault="004F521B">
      <w:pPr>
        <w:rPr>
          <w:color w:val="000000"/>
          <w:sz w:val="24"/>
          <w:szCs w:val="24"/>
        </w:rPr>
      </w:pPr>
    </w:p>
    <w:p w14:paraId="0B6EC721" w14:textId="4FBBA223" w:rsidR="00344C14" w:rsidRDefault="00734B9B" w:rsidP="004F521B">
      <w:pPr>
        <w:rPr>
          <w:color w:val="000000"/>
          <w:sz w:val="24"/>
          <w:szCs w:val="24"/>
        </w:rPr>
      </w:pPr>
      <w:r>
        <w:rPr>
          <w:color w:val="000000"/>
          <w:sz w:val="24"/>
          <w:szCs w:val="24"/>
        </w:rPr>
        <w:tab/>
      </w:r>
      <w:r w:rsidRPr="004F521B">
        <w:rPr>
          <w:b/>
          <w:bCs/>
          <w:color w:val="000000"/>
          <w:sz w:val="24"/>
          <w:szCs w:val="24"/>
        </w:rPr>
        <w:t>Objective:</w:t>
      </w:r>
      <w:r w:rsidR="004F521B">
        <w:rPr>
          <w:color w:val="000000"/>
          <w:sz w:val="24"/>
          <w:szCs w:val="24"/>
        </w:rPr>
        <w:t xml:space="preserve"> </w:t>
      </w:r>
    </w:p>
    <w:p w14:paraId="20FC2524" w14:textId="48B43C94" w:rsidR="004F521B" w:rsidRDefault="004F521B" w:rsidP="004F521B">
      <w:pPr>
        <w:rPr>
          <w:color w:val="000000"/>
          <w:sz w:val="24"/>
          <w:szCs w:val="24"/>
        </w:rPr>
      </w:pPr>
      <w:r>
        <w:rPr>
          <w:color w:val="000000"/>
          <w:sz w:val="24"/>
          <w:szCs w:val="24"/>
        </w:rPr>
        <w:tab/>
      </w:r>
    </w:p>
    <w:p w14:paraId="4584C3F2" w14:textId="578DF576" w:rsidR="004F521B" w:rsidRDefault="004F521B" w:rsidP="004F521B">
      <w:pPr>
        <w:rPr>
          <w:color w:val="000000"/>
          <w:sz w:val="24"/>
          <w:szCs w:val="24"/>
        </w:rPr>
      </w:pPr>
      <w:r>
        <w:rPr>
          <w:color w:val="000000"/>
          <w:sz w:val="24"/>
          <w:szCs w:val="24"/>
        </w:rPr>
        <w:tab/>
      </w:r>
      <w:r w:rsidRPr="004F521B">
        <w:rPr>
          <w:b/>
          <w:bCs/>
          <w:color w:val="000000"/>
          <w:sz w:val="24"/>
          <w:szCs w:val="24"/>
        </w:rPr>
        <w:t>Methods:</w:t>
      </w:r>
    </w:p>
    <w:p w14:paraId="37135FB8" w14:textId="5D014F0C" w:rsidR="0042409C" w:rsidRDefault="0042409C" w:rsidP="0042409C">
      <w:pPr>
        <w:pStyle w:val="ListParagraph"/>
        <w:numPr>
          <w:ilvl w:val="0"/>
          <w:numId w:val="4"/>
        </w:numPr>
        <w:rPr>
          <w:color w:val="000000"/>
          <w:sz w:val="24"/>
          <w:szCs w:val="24"/>
        </w:rPr>
      </w:pPr>
      <w:r>
        <w:rPr>
          <w:color w:val="000000"/>
          <w:sz w:val="24"/>
          <w:szCs w:val="24"/>
        </w:rPr>
        <w:t>Trim 2x150bp read</w:t>
      </w:r>
      <w:r w:rsidR="006001CA">
        <w:rPr>
          <w:color w:val="000000"/>
          <w:sz w:val="24"/>
          <w:szCs w:val="24"/>
        </w:rPr>
        <w:t>s</w:t>
      </w:r>
      <w:r>
        <w:rPr>
          <w:color w:val="000000"/>
          <w:sz w:val="24"/>
          <w:szCs w:val="24"/>
        </w:rPr>
        <w:t xml:space="preserve"> to 2x50bp</w:t>
      </w:r>
    </w:p>
    <w:p w14:paraId="3ABF1B0D" w14:textId="0B84B641" w:rsidR="006001CA" w:rsidRDefault="006001CA" w:rsidP="006001CA">
      <w:pPr>
        <w:pStyle w:val="ListParagraph"/>
        <w:numPr>
          <w:ilvl w:val="1"/>
          <w:numId w:val="4"/>
        </w:numPr>
        <w:rPr>
          <w:color w:val="000000"/>
          <w:sz w:val="24"/>
          <w:szCs w:val="24"/>
        </w:rPr>
      </w:pPr>
      <w:r>
        <w:rPr>
          <w:color w:val="000000"/>
          <w:sz w:val="24"/>
          <w:szCs w:val="24"/>
        </w:rPr>
        <w:t>QC trimming step</w:t>
      </w:r>
    </w:p>
    <w:p w14:paraId="7D508DE3" w14:textId="496C7AB9" w:rsidR="006001CA" w:rsidRDefault="006001CA" w:rsidP="006001CA">
      <w:pPr>
        <w:pStyle w:val="ListParagraph"/>
        <w:numPr>
          <w:ilvl w:val="0"/>
          <w:numId w:val="4"/>
        </w:numPr>
        <w:rPr>
          <w:color w:val="000000"/>
          <w:sz w:val="24"/>
          <w:szCs w:val="24"/>
        </w:rPr>
      </w:pPr>
      <w:r>
        <w:rPr>
          <w:color w:val="000000"/>
          <w:sz w:val="24"/>
          <w:szCs w:val="24"/>
        </w:rPr>
        <w:t>Align reads with BWA-MEM</w:t>
      </w:r>
    </w:p>
    <w:p w14:paraId="61ACDE3A" w14:textId="2080381D" w:rsidR="001469C4" w:rsidRPr="001469C4" w:rsidRDefault="001469C4" w:rsidP="001469C4">
      <w:pPr>
        <w:pStyle w:val="ListParagraph"/>
        <w:numPr>
          <w:ilvl w:val="1"/>
          <w:numId w:val="4"/>
        </w:numPr>
        <w:rPr>
          <w:color w:val="000000"/>
          <w:sz w:val="24"/>
          <w:szCs w:val="24"/>
        </w:rPr>
      </w:pPr>
      <w:r>
        <w:rPr>
          <w:color w:val="000000"/>
          <w:sz w:val="24"/>
          <w:szCs w:val="24"/>
        </w:rPr>
        <w:t xml:space="preserve">All libraries for </w:t>
      </w:r>
      <w:r w:rsidRPr="001469C4">
        <w:rPr>
          <w:b/>
          <w:bCs/>
          <w:color w:val="000000" w:themeColor="text1"/>
        </w:rPr>
        <w:t>MEF-UVB</w:t>
      </w:r>
      <w:r>
        <w:rPr>
          <w:b/>
          <w:bCs/>
          <w:color w:val="000000" w:themeColor="text1"/>
        </w:rPr>
        <w:t xml:space="preserve"> </w:t>
      </w:r>
      <w:r>
        <w:rPr>
          <w:color w:val="000000" w:themeColor="text1"/>
        </w:rPr>
        <w:t>will be aligned together</w:t>
      </w:r>
    </w:p>
    <w:p w14:paraId="71F5794A" w14:textId="45DE9080" w:rsidR="001469C4" w:rsidRDefault="001469C4" w:rsidP="001469C4">
      <w:pPr>
        <w:pStyle w:val="ListParagraph"/>
        <w:numPr>
          <w:ilvl w:val="1"/>
          <w:numId w:val="4"/>
        </w:numPr>
        <w:rPr>
          <w:color w:val="000000"/>
          <w:sz w:val="24"/>
          <w:szCs w:val="24"/>
        </w:rPr>
      </w:pPr>
      <w:r>
        <w:rPr>
          <w:color w:val="000000" w:themeColor="text1"/>
        </w:rPr>
        <w:lastRenderedPageBreak/>
        <w:t xml:space="preserve">All libraries for </w:t>
      </w:r>
      <w:r w:rsidRPr="001469C4">
        <w:rPr>
          <w:b/>
          <w:bCs/>
          <w:color w:val="000000" w:themeColor="text1"/>
        </w:rPr>
        <w:t>MEF-</w:t>
      </w:r>
      <w:r w:rsidRPr="001469C4">
        <w:rPr>
          <w:b/>
          <w:bCs/>
          <w:color w:val="000000" w:themeColor="text1"/>
        </w:rPr>
        <w:t>NT</w:t>
      </w:r>
      <w:r>
        <w:rPr>
          <w:color w:val="000000" w:themeColor="text1"/>
        </w:rPr>
        <w:t xml:space="preserve"> will be aligned together</w:t>
      </w:r>
    </w:p>
    <w:p w14:paraId="139468B2" w14:textId="1AAA30DD" w:rsidR="006001CA" w:rsidRDefault="006001CA" w:rsidP="006001CA">
      <w:pPr>
        <w:pStyle w:val="ListParagraph"/>
        <w:numPr>
          <w:ilvl w:val="1"/>
          <w:numId w:val="4"/>
        </w:numPr>
        <w:rPr>
          <w:color w:val="000000"/>
          <w:sz w:val="24"/>
          <w:szCs w:val="24"/>
        </w:rPr>
      </w:pPr>
      <w:r>
        <w:rPr>
          <w:color w:val="000000"/>
          <w:sz w:val="24"/>
          <w:szCs w:val="24"/>
        </w:rPr>
        <w:t>Allow at least 1 mismatch in alignment (inherent heterozygosity in samples)</w:t>
      </w:r>
    </w:p>
    <w:p w14:paraId="33D9F975" w14:textId="202D9289" w:rsidR="00344C14" w:rsidRPr="001469C4" w:rsidRDefault="006001CA" w:rsidP="001469C4">
      <w:pPr>
        <w:pStyle w:val="ListParagraph"/>
        <w:numPr>
          <w:ilvl w:val="0"/>
          <w:numId w:val="4"/>
        </w:numPr>
        <w:rPr>
          <w:color w:val="000000"/>
          <w:sz w:val="24"/>
          <w:szCs w:val="24"/>
        </w:rPr>
      </w:pPr>
      <w:r w:rsidRPr="001469C4">
        <w:rPr>
          <w:color w:val="000000"/>
          <w:sz w:val="24"/>
          <w:szCs w:val="24"/>
        </w:rPr>
        <w:t>Remove all duplicate divergent, paired end reads that have a single nucleotide gap (they are probably PCR duplicates), so retain only one read if there are multiple.</w:t>
      </w:r>
    </w:p>
    <w:p w14:paraId="0F5B580E" w14:textId="714C9D22" w:rsidR="001469C4" w:rsidRPr="001469C4" w:rsidRDefault="001469C4" w:rsidP="001469C4">
      <w:pPr>
        <w:pStyle w:val="ListParagraph"/>
        <w:numPr>
          <w:ilvl w:val="0"/>
          <w:numId w:val="4"/>
        </w:numPr>
        <w:rPr>
          <w:color w:val="000000"/>
          <w:sz w:val="24"/>
          <w:szCs w:val="24"/>
        </w:rPr>
      </w:pPr>
      <w:r w:rsidRPr="001469C4">
        <w:rPr>
          <w:color w:val="000000"/>
          <w:sz w:val="24"/>
          <w:szCs w:val="24"/>
        </w:rPr>
        <w:t>Analyze base within single nucleotide gap and identify 3’ neighbor.</w:t>
      </w:r>
    </w:p>
    <w:p w14:paraId="23350742" w14:textId="1E41ED16" w:rsidR="001469C4" w:rsidRPr="001469C4" w:rsidRDefault="001469C4" w:rsidP="001469C4">
      <w:pPr>
        <w:pStyle w:val="ListParagraph"/>
        <w:numPr>
          <w:ilvl w:val="1"/>
          <w:numId w:val="4"/>
        </w:numPr>
        <w:rPr>
          <w:sz w:val="24"/>
          <w:szCs w:val="24"/>
        </w:rPr>
      </w:pPr>
      <w:r w:rsidRPr="001469C4">
        <w:rPr>
          <w:sz w:val="24"/>
          <w:szCs w:val="24"/>
        </w:rPr>
        <w:t xml:space="preserve">      </w:t>
      </w:r>
      <w:r w:rsidRPr="001469C4">
        <w:rPr>
          <w:sz w:val="24"/>
          <w:szCs w:val="24"/>
        </w:rPr>
        <w:t xml:space="preserve">  </w:t>
      </w:r>
      <w:r>
        <w:rPr>
          <w:sz w:val="24"/>
          <w:szCs w:val="24"/>
        </w:rPr>
        <w:t xml:space="preserve">     </w:t>
      </w:r>
      <w:r w:rsidRPr="001469C4">
        <w:rPr>
          <w:sz w:val="24"/>
          <w:szCs w:val="24"/>
        </w:rPr>
        <w:t>T/C 3’</w:t>
      </w:r>
      <w:r w:rsidRPr="001469C4">
        <w:rPr>
          <w:sz w:val="24"/>
          <w:szCs w:val="24"/>
        </w:rPr>
        <w:sym w:font="Wingdings" w:char="F0FE"/>
      </w:r>
      <w:r>
        <w:rPr>
          <w:sz w:val="24"/>
          <w:szCs w:val="24"/>
        </w:rPr>
        <w:t>----&gt;</w:t>
      </w:r>
    </w:p>
    <w:p w14:paraId="49F814D5" w14:textId="2CE00973" w:rsidR="001469C4" w:rsidRDefault="001469C4" w:rsidP="001469C4">
      <w:pPr>
        <w:pStyle w:val="ListParagraph"/>
        <w:numPr>
          <w:ilvl w:val="1"/>
          <w:numId w:val="4"/>
        </w:numPr>
        <w:rPr>
          <w:sz w:val="24"/>
          <w:szCs w:val="24"/>
        </w:rPr>
      </w:pPr>
      <w:r>
        <w:rPr>
          <w:sz w:val="24"/>
          <w:szCs w:val="24"/>
        </w:rPr>
        <w:t>&lt;</w:t>
      </w:r>
      <w:r w:rsidRPr="001469C4">
        <w:rPr>
          <w:sz w:val="24"/>
          <w:szCs w:val="24"/>
        </w:rPr>
        <w:t>----</w:t>
      </w:r>
      <w:r w:rsidRPr="001469C4">
        <w:rPr>
          <w:sz w:val="24"/>
          <w:szCs w:val="24"/>
        </w:rPr>
        <w:sym w:font="Wingdings" w:char="F0FE"/>
      </w:r>
      <w:r w:rsidRPr="001469C4">
        <w:rPr>
          <w:sz w:val="24"/>
          <w:szCs w:val="24"/>
        </w:rPr>
        <w:t>5’A/G</w:t>
      </w:r>
    </w:p>
    <w:p w14:paraId="41CE1E56" w14:textId="77777777" w:rsidR="001469C4" w:rsidRPr="001469C4" w:rsidRDefault="001469C4" w:rsidP="001469C4">
      <w:pPr>
        <w:pStyle w:val="ListParagraph"/>
        <w:numPr>
          <w:ilvl w:val="1"/>
          <w:numId w:val="4"/>
        </w:numPr>
        <w:rPr>
          <w:bCs/>
        </w:rPr>
      </w:pPr>
      <w:r w:rsidRPr="001469C4">
        <w:rPr>
          <w:bCs/>
        </w:rPr>
        <w:t>This will create a dinucleotide frequency (we expect 5’TT and 5’TC to be the most frequent, as before).</w:t>
      </w:r>
    </w:p>
    <w:p w14:paraId="29D74065" w14:textId="3C63143D" w:rsidR="001469C4" w:rsidRDefault="001469C4" w:rsidP="001469C4">
      <w:pPr>
        <w:pStyle w:val="ListParagraph"/>
        <w:numPr>
          <w:ilvl w:val="0"/>
          <w:numId w:val="4"/>
        </w:numPr>
        <w:rPr>
          <w:bCs/>
        </w:rPr>
      </w:pPr>
      <w:r>
        <w:rPr>
          <w:bCs/>
        </w:rPr>
        <w:t>C</w:t>
      </w:r>
      <w:r w:rsidRPr="001469C4">
        <w:rPr>
          <w:bCs/>
        </w:rPr>
        <w:t>reate a trinucleotide frequency map from the dinucleotides (dipyrimidines): 5’TTN, 5’TCN, 5’CTN, 5’CCN, and others if they are frequent enough.</w:t>
      </w:r>
    </w:p>
    <w:p w14:paraId="400C40F3" w14:textId="771C645D" w:rsidR="001469C4" w:rsidRDefault="001469C4" w:rsidP="001469C4">
      <w:pPr>
        <w:pStyle w:val="ListParagraph"/>
        <w:numPr>
          <w:ilvl w:val="1"/>
          <w:numId w:val="4"/>
        </w:numPr>
        <w:rPr>
          <w:bCs/>
        </w:rPr>
      </w:pPr>
      <w:r>
        <w:rPr>
          <w:bCs/>
        </w:rPr>
        <w:t>Frequency histogram of treatment/control</w:t>
      </w:r>
    </w:p>
    <w:p w14:paraId="17432951" w14:textId="5403CDD6" w:rsidR="001469C4" w:rsidRDefault="001469C4" w:rsidP="001469C4">
      <w:pPr>
        <w:pStyle w:val="ListParagraph"/>
        <w:numPr>
          <w:ilvl w:val="1"/>
          <w:numId w:val="4"/>
        </w:numPr>
        <w:rPr>
          <w:bCs/>
        </w:rPr>
      </w:pPr>
      <w:r>
        <w:t>BED file for position information</w:t>
      </w:r>
    </w:p>
    <w:p w14:paraId="28B807B1" w14:textId="7959969B" w:rsidR="001469C4" w:rsidRPr="001469C4" w:rsidRDefault="001469C4" w:rsidP="001469C4">
      <w:pPr>
        <w:pStyle w:val="ListParagraph"/>
        <w:numPr>
          <w:ilvl w:val="0"/>
          <w:numId w:val="4"/>
        </w:numPr>
        <w:rPr>
          <w:bCs/>
        </w:rPr>
      </w:pPr>
      <w:r>
        <w:rPr>
          <w:bCs/>
        </w:rPr>
        <w:t>W</w:t>
      </w:r>
      <w:r w:rsidRPr="001469C4">
        <w:rPr>
          <w:bCs/>
        </w:rPr>
        <w:t>hat is the 5’ neighbor of the dinucleotides</w:t>
      </w:r>
      <w:r>
        <w:rPr>
          <w:bCs/>
        </w:rPr>
        <w:t>?</w:t>
      </w:r>
      <w:r w:rsidRPr="001469C4">
        <w:rPr>
          <w:bCs/>
        </w:rPr>
        <w:t xml:space="preserve"> This will also create a trinucleotide frequency distribution of the following type: 5’NTT, 5’NTC, 5’NCT, 5’NCC, and others if they are frequent enough.</w:t>
      </w:r>
    </w:p>
    <w:p w14:paraId="58C557A4" w14:textId="79EAA3D7" w:rsidR="001469C4" w:rsidRDefault="001469C4" w:rsidP="001469C4">
      <w:pPr>
        <w:ind w:left="1086"/>
        <w:rPr>
          <w:bCs/>
        </w:rPr>
      </w:pPr>
    </w:p>
    <w:p w14:paraId="06482842" w14:textId="77777777" w:rsidR="001469C4" w:rsidRDefault="001469C4" w:rsidP="001469C4">
      <w:pPr>
        <w:ind w:left="1086"/>
        <w:rPr>
          <w:bCs/>
        </w:rPr>
      </w:pPr>
      <w:r>
        <w:rPr>
          <w:bCs/>
        </w:rPr>
        <w:t>(Further Steps Delivered later/ in an addendum)</w:t>
      </w:r>
    </w:p>
    <w:p w14:paraId="14FD0318" w14:textId="77777777" w:rsidR="001469C4" w:rsidRPr="001469C4" w:rsidRDefault="001469C4" w:rsidP="001469C4">
      <w:pPr>
        <w:pStyle w:val="ListParagraph"/>
        <w:numPr>
          <w:ilvl w:val="0"/>
          <w:numId w:val="7"/>
        </w:numPr>
        <w:rPr>
          <w:bCs/>
        </w:rPr>
      </w:pPr>
      <w:r w:rsidRPr="001469C4">
        <w:rPr>
          <w:bCs/>
        </w:rPr>
        <w:t>T</w:t>
      </w:r>
      <w:r w:rsidRPr="001469C4">
        <w:rPr>
          <w:bCs/>
        </w:rPr>
        <w:t>etranucleotides in the 3’ or 5’ direction, e.g. make 5’NNYY or 5’YYNN.</w:t>
      </w:r>
    </w:p>
    <w:p w14:paraId="431AF9CF" w14:textId="2200D520" w:rsidR="001469C4" w:rsidRPr="001469C4" w:rsidRDefault="001469C4" w:rsidP="001469C4">
      <w:pPr>
        <w:pStyle w:val="ListParagraph"/>
        <w:numPr>
          <w:ilvl w:val="0"/>
          <w:numId w:val="7"/>
        </w:numPr>
        <w:rPr>
          <w:bCs/>
        </w:rPr>
      </w:pPr>
      <w:r w:rsidRPr="001469C4">
        <w:rPr>
          <w:bCs/>
        </w:rPr>
        <w:t xml:space="preserve">Or we could put the dipyrimidines in the middle and ask what is the frequency of the bases 5’ and 3’: such as 5’NYYN. </w:t>
      </w:r>
    </w:p>
    <w:p w14:paraId="419E0D32" w14:textId="77777777" w:rsidR="001469C4" w:rsidRPr="001469C4" w:rsidRDefault="001469C4" w:rsidP="001469C4">
      <w:pPr>
        <w:ind w:left="1086"/>
        <w:rPr>
          <w:bCs/>
        </w:rPr>
      </w:pPr>
    </w:p>
    <w:p w14:paraId="3DCA10AA" w14:textId="135EA46B" w:rsidR="001469C4" w:rsidRPr="001469C4" w:rsidRDefault="001469C4" w:rsidP="001469C4">
      <w:pPr>
        <w:pStyle w:val="ListParagraph"/>
        <w:ind w:left="2166"/>
      </w:pPr>
    </w:p>
    <w:p w14:paraId="4C43C762" w14:textId="77777777" w:rsidR="00344C14" w:rsidRDefault="002755DE">
      <w:pPr>
        <w:rPr>
          <w:color w:val="000000"/>
          <w:sz w:val="24"/>
          <w:szCs w:val="24"/>
        </w:rPr>
      </w:pPr>
      <w:r>
        <w:rPr>
          <w:b/>
          <w:color w:val="000000"/>
          <w:sz w:val="24"/>
          <w:szCs w:val="24"/>
        </w:rPr>
        <w:t>Expected deliverables</w:t>
      </w:r>
      <w:r>
        <w:rPr>
          <w:color w:val="000000"/>
          <w:sz w:val="24"/>
          <w:szCs w:val="24"/>
        </w:rPr>
        <w:t>:</w:t>
      </w:r>
    </w:p>
    <w:p w14:paraId="5F44D82F" w14:textId="77777777" w:rsidR="00344C14" w:rsidRDefault="00344C14">
      <w:pPr>
        <w:rPr>
          <w:color w:val="000000"/>
          <w:sz w:val="24"/>
          <w:szCs w:val="24"/>
        </w:rPr>
      </w:pPr>
    </w:p>
    <w:p w14:paraId="6F267E41" w14:textId="668A701A" w:rsidR="00344C14" w:rsidRDefault="001469C4">
      <w:pPr>
        <w:numPr>
          <w:ilvl w:val="0"/>
          <w:numId w:val="2"/>
        </w:numPr>
        <w:pBdr>
          <w:top w:val="nil"/>
          <w:left w:val="nil"/>
          <w:bottom w:val="nil"/>
          <w:right w:val="nil"/>
          <w:between w:val="nil"/>
        </w:pBdr>
        <w:contextualSpacing/>
        <w:rPr>
          <w:color w:val="000000"/>
          <w:sz w:val="24"/>
          <w:szCs w:val="24"/>
        </w:rPr>
      </w:pPr>
      <w:r>
        <w:rPr>
          <w:color w:val="000000"/>
          <w:sz w:val="24"/>
          <w:szCs w:val="24"/>
        </w:rPr>
        <w:t>BED file containing genomic loci of dipyrimidines.</w:t>
      </w:r>
    </w:p>
    <w:p w14:paraId="67FB944C" w14:textId="77777777" w:rsidR="001469C4" w:rsidRDefault="001469C4">
      <w:pPr>
        <w:numPr>
          <w:ilvl w:val="0"/>
          <w:numId w:val="2"/>
        </w:numPr>
        <w:pBdr>
          <w:top w:val="nil"/>
          <w:left w:val="nil"/>
          <w:bottom w:val="nil"/>
          <w:right w:val="nil"/>
          <w:between w:val="nil"/>
        </w:pBdr>
        <w:contextualSpacing/>
        <w:rPr>
          <w:color w:val="000000"/>
          <w:sz w:val="24"/>
          <w:szCs w:val="24"/>
        </w:rPr>
      </w:pPr>
    </w:p>
    <w:p w14:paraId="47962807" w14:textId="77777777" w:rsidR="001469C4" w:rsidRDefault="001469C4">
      <w:pPr>
        <w:rPr>
          <w:color w:val="000000"/>
          <w:sz w:val="24"/>
          <w:szCs w:val="24"/>
        </w:rPr>
      </w:pPr>
    </w:p>
    <w:p w14:paraId="1C6E1011" w14:textId="0FB5CA92" w:rsidR="00F47609" w:rsidRPr="00F47609" w:rsidRDefault="002755DE">
      <w:pPr>
        <w:rPr>
          <w:color w:val="000000"/>
          <w:sz w:val="24"/>
          <w:szCs w:val="24"/>
        </w:rPr>
      </w:pPr>
      <w:r>
        <w:rPr>
          <w:b/>
          <w:color w:val="000000"/>
          <w:sz w:val="24"/>
          <w:szCs w:val="24"/>
        </w:rPr>
        <w:t>Expected start date</w:t>
      </w:r>
      <w:r>
        <w:rPr>
          <w:color w:val="000000"/>
          <w:sz w:val="24"/>
          <w:szCs w:val="24"/>
        </w:rPr>
        <w:t xml:space="preserve">: </w:t>
      </w:r>
      <w:r w:rsidR="001469C4">
        <w:rPr>
          <w:bCs/>
          <w:color w:val="000000"/>
          <w:sz w:val="24"/>
          <w:szCs w:val="24"/>
        </w:rPr>
        <w:t>28 APR</w:t>
      </w:r>
      <w:r w:rsidR="00F47609">
        <w:rPr>
          <w:bCs/>
          <w:color w:val="000000"/>
          <w:sz w:val="24"/>
          <w:szCs w:val="24"/>
        </w:rPr>
        <w:t xml:space="preserve"> 2020</w:t>
      </w:r>
    </w:p>
    <w:p w14:paraId="3AE4C191" w14:textId="77777777" w:rsidR="00F47609" w:rsidRDefault="00F47609">
      <w:pPr>
        <w:rPr>
          <w:b/>
          <w:color w:val="000000"/>
          <w:sz w:val="24"/>
          <w:szCs w:val="24"/>
        </w:rPr>
      </w:pPr>
    </w:p>
    <w:p w14:paraId="52895198" w14:textId="47672C96" w:rsidR="00F47609" w:rsidRDefault="002755DE">
      <w:pPr>
        <w:rPr>
          <w:color w:val="000000"/>
          <w:sz w:val="24"/>
          <w:szCs w:val="24"/>
        </w:rPr>
      </w:pPr>
      <w:r>
        <w:rPr>
          <w:b/>
          <w:color w:val="000000"/>
          <w:sz w:val="24"/>
          <w:szCs w:val="24"/>
        </w:rPr>
        <w:t>Tentative deadline</w:t>
      </w:r>
      <w:r>
        <w:rPr>
          <w:color w:val="000000"/>
          <w:sz w:val="24"/>
          <w:szCs w:val="24"/>
        </w:rPr>
        <w:t xml:space="preserve">: </w:t>
      </w:r>
      <w:r w:rsidR="001469C4">
        <w:rPr>
          <w:color w:val="000000"/>
          <w:sz w:val="24"/>
          <w:szCs w:val="24"/>
        </w:rPr>
        <w:t>06</w:t>
      </w:r>
      <w:r w:rsidR="00F47609">
        <w:rPr>
          <w:color w:val="000000"/>
          <w:sz w:val="24"/>
          <w:szCs w:val="24"/>
        </w:rPr>
        <w:t xml:space="preserve"> MA</w:t>
      </w:r>
      <w:r w:rsidR="001469C4">
        <w:rPr>
          <w:color w:val="000000"/>
          <w:sz w:val="24"/>
          <w:szCs w:val="24"/>
        </w:rPr>
        <w:t>Y</w:t>
      </w:r>
      <w:r w:rsidR="00F47609">
        <w:rPr>
          <w:color w:val="000000"/>
          <w:sz w:val="24"/>
          <w:szCs w:val="24"/>
        </w:rPr>
        <w:t xml:space="preserve"> 2020</w:t>
      </w:r>
      <w:r w:rsidR="001469C4">
        <w:rPr>
          <w:color w:val="000000"/>
          <w:sz w:val="24"/>
          <w:szCs w:val="24"/>
        </w:rPr>
        <w:t xml:space="preserve"> (data needed for May 12 presentation)</w:t>
      </w:r>
    </w:p>
    <w:p w14:paraId="24836143" w14:textId="77777777" w:rsidR="00F47609" w:rsidRDefault="00F47609">
      <w:pPr>
        <w:rPr>
          <w:color w:val="000000"/>
          <w:sz w:val="24"/>
          <w:szCs w:val="24"/>
        </w:rPr>
      </w:pPr>
    </w:p>
    <w:p w14:paraId="6CC78F7E" w14:textId="77777777" w:rsidR="00344C14" w:rsidRDefault="00344C14">
      <w:pPr>
        <w:rPr>
          <w:b/>
          <w:color w:val="000000"/>
          <w:sz w:val="24"/>
          <w:szCs w:val="24"/>
        </w:rPr>
      </w:pPr>
    </w:p>
    <w:p w14:paraId="4C08C883" w14:textId="232189D5" w:rsidR="00344C14" w:rsidRDefault="002755DE">
      <w:pPr>
        <w:rPr>
          <w:color w:val="000000"/>
          <w:sz w:val="24"/>
          <w:szCs w:val="24"/>
        </w:rPr>
      </w:pPr>
      <w:r>
        <w:rPr>
          <w:b/>
          <w:color w:val="000000"/>
          <w:sz w:val="24"/>
          <w:szCs w:val="24"/>
        </w:rPr>
        <w:t>Estimated number of hours to completion (</w:t>
      </w:r>
      <w:r>
        <w:rPr>
          <w:b/>
          <w:sz w:val="24"/>
          <w:szCs w:val="24"/>
        </w:rPr>
        <w:t>expected</w:t>
      </w:r>
      <w:r>
        <w:rPr>
          <w:b/>
          <w:color w:val="000000"/>
          <w:sz w:val="24"/>
          <w:szCs w:val="24"/>
        </w:rPr>
        <w:t xml:space="preserve"> billable time)</w:t>
      </w:r>
      <w:r>
        <w:rPr>
          <w:color w:val="000000"/>
          <w:sz w:val="24"/>
          <w:szCs w:val="24"/>
        </w:rPr>
        <w:t xml:space="preserve">: </w:t>
      </w:r>
      <w:r w:rsidR="001469C4">
        <w:rPr>
          <w:color w:val="000000"/>
          <w:sz w:val="24"/>
          <w:szCs w:val="24"/>
        </w:rPr>
        <w:t>16 hours</w:t>
      </w:r>
    </w:p>
    <w:p w14:paraId="42EDAC30" w14:textId="77777777" w:rsidR="001469C4" w:rsidRDefault="001469C4">
      <w:pPr>
        <w:rPr>
          <w:color w:val="000000"/>
          <w:sz w:val="24"/>
          <w:szCs w:val="24"/>
        </w:rPr>
      </w:pPr>
      <w:r>
        <w:rPr>
          <w:color w:val="000000"/>
          <w:sz w:val="24"/>
          <w:szCs w:val="24"/>
        </w:rPr>
        <w:br w:type="page"/>
      </w:r>
    </w:p>
    <w:p w14:paraId="08012575" w14:textId="5C264338" w:rsidR="00344C14" w:rsidRDefault="002755DE">
      <w:pPr>
        <w:rPr>
          <w:color w:val="000000"/>
          <w:sz w:val="24"/>
          <w:szCs w:val="24"/>
        </w:rPr>
      </w:pPr>
      <w:r>
        <w:rPr>
          <w:color w:val="000000"/>
          <w:sz w:val="24"/>
          <w:szCs w:val="24"/>
        </w:rPr>
        <w:lastRenderedPageBreak/>
        <w:t>BBC Policy Summary</w:t>
      </w:r>
    </w:p>
    <w:p w14:paraId="2F06A124" w14:textId="77777777" w:rsidR="00344C14" w:rsidRDefault="00344C14">
      <w:pPr>
        <w:rPr>
          <w:color w:val="000000"/>
          <w:sz w:val="24"/>
          <w:szCs w:val="24"/>
        </w:rPr>
      </w:pPr>
    </w:p>
    <w:p w14:paraId="2C60BF4A" w14:textId="77777777" w:rsidR="00344C14" w:rsidRDefault="002755DE">
      <w:pPr>
        <w:pBdr>
          <w:top w:val="nil"/>
          <w:left w:val="nil"/>
          <w:bottom w:val="nil"/>
          <w:right w:val="nil"/>
          <w:between w:val="nil"/>
        </w:pBdr>
        <w:spacing w:before="100" w:after="100"/>
        <w:rPr>
          <w:color w:val="000000"/>
          <w:sz w:val="24"/>
          <w:szCs w:val="24"/>
        </w:rPr>
      </w:pPr>
      <w:r>
        <w:rPr>
          <w:color w:val="000000"/>
          <w:sz w:val="24"/>
          <w:szCs w:val="24"/>
        </w:rPr>
        <w:t xml:space="preserve">The VARI Bioinformatics and Biostatistics Core has established policies, to facilitate computational and statistical support for the design, planning, conduct, analysis, and reporting of research. </w:t>
      </w:r>
    </w:p>
    <w:p w14:paraId="1697523A" w14:textId="77777777" w:rsidR="00344C14" w:rsidRDefault="00344C14">
      <w:pPr>
        <w:rPr>
          <w:color w:val="000000"/>
          <w:sz w:val="24"/>
          <w:szCs w:val="24"/>
        </w:rPr>
      </w:pPr>
    </w:p>
    <w:p w14:paraId="463A3477" w14:textId="77777777" w:rsidR="00344C14" w:rsidRDefault="00344C14">
      <w:pPr>
        <w:spacing w:line="276" w:lineRule="auto"/>
        <w:rPr>
          <w:sz w:val="24"/>
          <w:szCs w:val="24"/>
        </w:rPr>
      </w:pPr>
    </w:p>
    <w:p w14:paraId="41FB9851" w14:textId="77777777" w:rsidR="00344C14" w:rsidRDefault="002755DE">
      <w:pPr>
        <w:numPr>
          <w:ilvl w:val="0"/>
          <w:numId w:val="1"/>
        </w:numPr>
        <w:spacing w:line="276" w:lineRule="auto"/>
        <w:contextualSpacing/>
        <w:rPr>
          <w:sz w:val="24"/>
          <w:szCs w:val="24"/>
        </w:rPr>
      </w:pPr>
      <w:r>
        <w:rPr>
          <w:sz w:val="24"/>
          <w:szCs w:val="24"/>
        </w:rPr>
        <w:t>Any analyses outside those specifically listed here will require an addendum to this document with a revised timeline and updated number of billable hours. Additionally, any major modifications to the deliverables, defined here as taking &gt;1 hour to generate, will also require an addendum with updated billable hours</w:t>
      </w:r>
    </w:p>
    <w:p w14:paraId="6C0F2228" w14:textId="77777777" w:rsidR="00344C14" w:rsidRDefault="002755DE">
      <w:pPr>
        <w:numPr>
          <w:ilvl w:val="0"/>
          <w:numId w:val="1"/>
        </w:numPr>
        <w:spacing w:line="276" w:lineRule="auto"/>
        <w:contextualSpacing/>
        <w:rPr>
          <w:sz w:val="24"/>
          <w:szCs w:val="24"/>
        </w:rPr>
      </w:pPr>
      <w:r>
        <w:rPr>
          <w:sz w:val="24"/>
          <w:szCs w:val="24"/>
        </w:rPr>
        <w:t xml:space="preserve">This timeline is subject to change if projects with higher order in our queue take longer than anticipated. </w:t>
      </w:r>
    </w:p>
    <w:p w14:paraId="1B9E445B" w14:textId="77777777" w:rsidR="00344C14" w:rsidRDefault="002755DE">
      <w:pPr>
        <w:numPr>
          <w:ilvl w:val="0"/>
          <w:numId w:val="1"/>
        </w:numPr>
        <w:spacing w:line="276" w:lineRule="auto"/>
        <w:contextualSpacing/>
        <w:rPr>
          <w:sz w:val="24"/>
          <w:szCs w:val="24"/>
        </w:rPr>
      </w:pPr>
      <w:r>
        <w:rPr>
          <w:sz w:val="24"/>
          <w:szCs w:val="24"/>
        </w:rPr>
        <w:t xml:space="preserve">The maximum number of billable hours refers to a conservative estimate of the total hours needed to complete this analysis. If the actual time is less than this estimate, your lab will be billed only the actual hours worked. If the work specifically outlined here takes longer than this estimate, your lab will only be billed the hours quoted here.  </w:t>
      </w:r>
    </w:p>
    <w:p w14:paraId="21B11939" w14:textId="77777777" w:rsidR="00344C14" w:rsidRDefault="00B12E54">
      <w:pPr>
        <w:numPr>
          <w:ilvl w:val="0"/>
          <w:numId w:val="1"/>
        </w:numPr>
        <w:spacing w:line="276" w:lineRule="auto"/>
        <w:contextualSpacing/>
        <w:rPr>
          <w:sz w:val="24"/>
          <w:szCs w:val="24"/>
        </w:rPr>
      </w:pPr>
      <w:r>
        <w:rPr>
          <w:sz w:val="24"/>
          <w:szCs w:val="24"/>
        </w:rPr>
        <w:t>We will not begin work on your project until you send an affirmative response to this consultation sheet, even if the proposed start date has passed. Please be prompt in your project confirmation.</w:t>
      </w:r>
    </w:p>
    <w:p w14:paraId="22216218" w14:textId="77777777" w:rsidR="00344C14" w:rsidRDefault="00344C14">
      <w:pPr>
        <w:rPr>
          <w:color w:val="000000"/>
          <w:sz w:val="24"/>
          <w:szCs w:val="24"/>
        </w:rPr>
      </w:pPr>
    </w:p>
    <w:p w14:paraId="75BD0A02" w14:textId="77777777" w:rsidR="00344C14" w:rsidRDefault="00344C14">
      <w:pPr>
        <w:rPr>
          <w:color w:val="000000"/>
          <w:sz w:val="24"/>
          <w:szCs w:val="24"/>
        </w:rPr>
      </w:pPr>
    </w:p>
    <w:p w14:paraId="7035E004" w14:textId="77777777" w:rsidR="00344C14" w:rsidRDefault="00344C14">
      <w:pPr>
        <w:rPr>
          <w:color w:val="000000"/>
          <w:sz w:val="24"/>
          <w:szCs w:val="24"/>
        </w:rPr>
      </w:pPr>
    </w:p>
    <w:sectPr w:rsidR="00344C1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A3B85" w14:textId="77777777" w:rsidR="00A21745" w:rsidRDefault="00A21745">
      <w:r>
        <w:separator/>
      </w:r>
    </w:p>
  </w:endnote>
  <w:endnote w:type="continuationSeparator" w:id="0">
    <w:p w14:paraId="4BB22350" w14:textId="77777777" w:rsidR="00A21745" w:rsidRDefault="00A2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roman"/>
    <w:pitch w:val="variable"/>
    <w:sig w:usb0="00000003" w:usb1="00000000" w:usb2="00000000" w:usb3="00000000" w:csb0="00000001" w:csb1="00000000"/>
  </w:font>
  <w:font w:name="Avenir">
    <w:altName w:val="Times New Roman"/>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C850" w14:textId="77777777" w:rsidR="00344C14" w:rsidRDefault="00344C14">
    <w:pPr>
      <w:pBdr>
        <w:top w:val="nil"/>
        <w:left w:val="nil"/>
        <w:bottom w:val="nil"/>
        <w:right w:val="nil"/>
        <w:between w:val="nil"/>
      </w:pBdr>
      <w:tabs>
        <w:tab w:val="center" w:pos="4320"/>
        <w:tab w:val="right" w:pos="8640"/>
      </w:tabs>
      <w:jc w:val="center"/>
      <w:rPr>
        <w:rFonts w:ascii="Avenir" w:eastAsia="Avenir" w:hAnsi="Avenir" w:cs="Aveni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96D45" w14:textId="77777777" w:rsidR="00A21745" w:rsidRDefault="00A21745">
      <w:r>
        <w:separator/>
      </w:r>
    </w:p>
  </w:footnote>
  <w:footnote w:type="continuationSeparator" w:id="0">
    <w:p w14:paraId="04E103C1" w14:textId="77777777" w:rsidR="00A21745" w:rsidRDefault="00A21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A6A7D" w14:textId="77777777" w:rsidR="00344C14" w:rsidRDefault="002755DE">
    <w:pPr>
      <w:pBdr>
        <w:top w:val="nil"/>
        <w:left w:val="nil"/>
        <w:bottom w:val="nil"/>
        <w:right w:val="nil"/>
        <w:between w:val="nil"/>
      </w:pBdr>
      <w:tabs>
        <w:tab w:val="center" w:pos="4320"/>
        <w:tab w:val="right" w:pos="8640"/>
      </w:tabs>
      <w:jc w:val="center"/>
      <w:rPr>
        <w:color w:val="000000"/>
      </w:rPr>
    </w:pPr>
    <w:r>
      <w:rPr>
        <w:noProof/>
        <w:color w:val="000000"/>
      </w:rPr>
      <w:drawing>
        <wp:inline distT="0" distB="0" distL="0" distR="0" wp14:anchorId="49CB4120" wp14:editId="158E4A69">
          <wp:extent cx="2286000" cy="69483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86000" cy="694832"/>
                  </a:xfrm>
                  <a:prstGeom prst="rect">
                    <a:avLst/>
                  </a:prstGeom>
                  <a:ln/>
                </pic:spPr>
              </pic:pic>
            </a:graphicData>
          </a:graphic>
        </wp:inline>
      </w:drawing>
    </w:r>
  </w:p>
  <w:p w14:paraId="585415C0" w14:textId="77777777" w:rsidR="00344C14" w:rsidRDefault="00344C14">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3C6"/>
    <w:multiLevelType w:val="multilevel"/>
    <w:tmpl w:val="85C2F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2F355D"/>
    <w:multiLevelType w:val="hybridMultilevel"/>
    <w:tmpl w:val="D37A7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A329A"/>
    <w:multiLevelType w:val="hybridMultilevel"/>
    <w:tmpl w:val="ADCACE7E"/>
    <w:lvl w:ilvl="0" w:tplc="157CBCCE">
      <w:start w:val="1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C5B80"/>
    <w:multiLevelType w:val="hybridMultilevel"/>
    <w:tmpl w:val="2BB2D03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292D6091"/>
    <w:multiLevelType w:val="multilevel"/>
    <w:tmpl w:val="E7D8C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B11716"/>
    <w:multiLevelType w:val="hybridMultilevel"/>
    <w:tmpl w:val="3B103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1574F"/>
    <w:multiLevelType w:val="hybridMultilevel"/>
    <w:tmpl w:val="7B6A016C"/>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14"/>
    <w:rsid w:val="000E18DD"/>
    <w:rsid w:val="001469C4"/>
    <w:rsid w:val="002755DE"/>
    <w:rsid w:val="003314EE"/>
    <w:rsid w:val="00344C14"/>
    <w:rsid w:val="0042409C"/>
    <w:rsid w:val="004F1070"/>
    <w:rsid w:val="004F521B"/>
    <w:rsid w:val="00530B40"/>
    <w:rsid w:val="006001CA"/>
    <w:rsid w:val="00734B9B"/>
    <w:rsid w:val="00815711"/>
    <w:rsid w:val="008C6593"/>
    <w:rsid w:val="00985622"/>
    <w:rsid w:val="00990E51"/>
    <w:rsid w:val="009A74E3"/>
    <w:rsid w:val="00A21745"/>
    <w:rsid w:val="00B12E54"/>
    <w:rsid w:val="00EC7465"/>
    <w:rsid w:val="00F4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6FB7"/>
  <w15:docId w15:val="{7A7B5FB0-EF17-464B-88C3-E781FAC0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2E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E54"/>
    <w:rPr>
      <w:rFonts w:ascii="Segoe UI" w:hAnsi="Segoe UI" w:cs="Segoe UI"/>
      <w:sz w:val="18"/>
      <w:szCs w:val="18"/>
    </w:rPr>
  </w:style>
  <w:style w:type="table" w:styleId="TableGrid">
    <w:name w:val="Table Grid"/>
    <w:basedOn w:val="TableNormal"/>
    <w:uiPriority w:val="39"/>
    <w:rsid w:val="0073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8916">
      <w:bodyDiv w:val="1"/>
      <w:marLeft w:val="0"/>
      <w:marRight w:val="0"/>
      <w:marTop w:val="0"/>
      <w:marBottom w:val="0"/>
      <w:divBdr>
        <w:top w:val="none" w:sz="0" w:space="0" w:color="auto"/>
        <w:left w:val="none" w:sz="0" w:space="0" w:color="auto"/>
        <w:bottom w:val="none" w:sz="0" w:space="0" w:color="auto"/>
        <w:right w:val="none" w:sz="0" w:space="0" w:color="auto"/>
      </w:divBdr>
    </w:div>
    <w:div w:id="77604328">
      <w:bodyDiv w:val="1"/>
      <w:marLeft w:val="0"/>
      <w:marRight w:val="0"/>
      <w:marTop w:val="0"/>
      <w:marBottom w:val="0"/>
      <w:divBdr>
        <w:top w:val="none" w:sz="0" w:space="0" w:color="auto"/>
        <w:left w:val="none" w:sz="0" w:space="0" w:color="auto"/>
        <w:bottom w:val="none" w:sz="0" w:space="0" w:color="auto"/>
        <w:right w:val="none" w:sz="0" w:space="0" w:color="auto"/>
      </w:divBdr>
    </w:div>
    <w:div w:id="210265081">
      <w:bodyDiv w:val="1"/>
      <w:marLeft w:val="0"/>
      <w:marRight w:val="0"/>
      <w:marTop w:val="0"/>
      <w:marBottom w:val="0"/>
      <w:divBdr>
        <w:top w:val="none" w:sz="0" w:space="0" w:color="auto"/>
        <w:left w:val="none" w:sz="0" w:space="0" w:color="auto"/>
        <w:bottom w:val="none" w:sz="0" w:space="0" w:color="auto"/>
        <w:right w:val="none" w:sz="0" w:space="0" w:color="auto"/>
      </w:divBdr>
    </w:div>
    <w:div w:id="542715187">
      <w:bodyDiv w:val="1"/>
      <w:marLeft w:val="0"/>
      <w:marRight w:val="0"/>
      <w:marTop w:val="0"/>
      <w:marBottom w:val="0"/>
      <w:divBdr>
        <w:top w:val="none" w:sz="0" w:space="0" w:color="auto"/>
        <w:left w:val="none" w:sz="0" w:space="0" w:color="auto"/>
        <w:bottom w:val="none" w:sz="0" w:space="0" w:color="auto"/>
        <w:right w:val="none" w:sz="0" w:space="0" w:color="auto"/>
      </w:divBdr>
    </w:div>
    <w:div w:id="816609337">
      <w:bodyDiv w:val="1"/>
      <w:marLeft w:val="0"/>
      <w:marRight w:val="0"/>
      <w:marTop w:val="0"/>
      <w:marBottom w:val="0"/>
      <w:divBdr>
        <w:top w:val="none" w:sz="0" w:space="0" w:color="auto"/>
        <w:left w:val="none" w:sz="0" w:space="0" w:color="auto"/>
        <w:bottom w:val="none" w:sz="0" w:space="0" w:color="auto"/>
        <w:right w:val="none" w:sz="0" w:space="0" w:color="auto"/>
      </w:divBdr>
    </w:div>
    <w:div w:id="1411463672">
      <w:bodyDiv w:val="1"/>
      <w:marLeft w:val="0"/>
      <w:marRight w:val="0"/>
      <w:marTop w:val="0"/>
      <w:marBottom w:val="0"/>
      <w:divBdr>
        <w:top w:val="none" w:sz="0" w:space="0" w:color="auto"/>
        <w:left w:val="none" w:sz="0" w:space="0" w:color="auto"/>
        <w:bottom w:val="none" w:sz="0" w:space="0" w:color="auto"/>
        <w:right w:val="none" w:sz="0" w:space="0" w:color="auto"/>
      </w:divBdr>
    </w:div>
    <w:div w:id="1614433488">
      <w:bodyDiv w:val="1"/>
      <w:marLeft w:val="0"/>
      <w:marRight w:val="0"/>
      <w:marTop w:val="0"/>
      <w:marBottom w:val="0"/>
      <w:divBdr>
        <w:top w:val="none" w:sz="0" w:space="0" w:color="auto"/>
        <w:left w:val="none" w:sz="0" w:space="0" w:color="auto"/>
        <w:bottom w:val="none" w:sz="0" w:space="0" w:color="auto"/>
        <w:right w:val="none" w:sz="0" w:space="0" w:color="auto"/>
      </w:divBdr>
    </w:div>
    <w:div w:id="1711148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Van Andel Institute</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Pettinga, Dean</cp:lastModifiedBy>
  <cp:revision>4</cp:revision>
  <dcterms:created xsi:type="dcterms:W3CDTF">2020-04-28T20:34:00Z</dcterms:created>
  <dcterms:modified xsi:type="dcterms:W3CDTF">2020-04-28T20:52:00Z</dcterms:modified>
</cp:coreProperties>
</file>