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A8832F"/>
          <w:spacing w:val="40"/>
          <w:sz w:val="24"/>
          <w:szCs w:val="24"/>
        </w:rPr>
        <w:t xml:space="preserve">RESEARCH OFFICE  |  PH.D. PROGRAMME</w:t>
      </w:r>
    </w:p>
    <w:p>
      <w:pPr>
        <w:spacing w:after="160"/>
      </w:pPr>
      <w:r>
        <w:rPr>
          <w:rFonts w:ascii="Cambria" w:cs="Cambria" w:eastAsia="Cambria" w:hAnsi="Cambria"/>
          <w:b/>
          <w:bCs/>
          <w:color w:val="6B1E2E"/>
          <w:sz w:val="80"/>
          <w:szCs w:val="80"/>
        </w:rPr>
        <w:t xml:space="preserve">Research ERP</w:t>
      </w:r>
    </w:p>
    <w:p>
      <w:pPr>
        <w:spacing w:after="360"/>
      </w:pPr>
      <w:r>
        <w:rPr>
          <w:rFonts w:ascii="Cambria" w:cs="Cambria" w:eastAsia="Cambria" w:hAnsi="Cambria"/>
          <w:color w:val="2A2A33"/>
          <w:sz w:val="40"/>
          <w:szCs w:val="40"/>
        </w:rPr>
        <w:t xml:space="preserve">Workflows and how the system works</w:t>
      </w:r>
    </w:p>
    <w:p>
      <w:pPr>
        <w:spacing w:after="120"/>
      </w:pPr>
      <w:r>
        <w:rPr>
          <w:rFonts w:ascii="Calibri" w:cs="Calibri" w:eastAsia="Calibri" w:hAnsi="Calibri"/>
          <w:color w:val="2A2A33"/>
          <w:sz w:val="26"/>
          <w:szCs w:val="26"/>
        </w:rPr>
        <w:t xml:space="preserve">Prepared for the Vice Chancellor</w:t>
      </w:r>
    </w:p>
    <w:p>
      <w:pPr>
        <w:spacing w:after="120"/>
      </w:pPr>
      <w:r>
        <w:rPr>
          <w:rFonts w:ascii="Calibri" w:cs="Calibri" w:eastAsia="Calibri" w:hAnsi="Calibri"/>
          <w:color w:val="6A6A75"/>
          <w:sz w:val="26"/>
          <w:szCs w:val="26"/>
        </w:rPr>
        <w:t xml:space="preserve">October 2026 (revised)</w:t>
      </w:r>
    </w:p>
    <w:p>
      <w:pPr>
        <w:spacing w:after="120" w:before="1200"/>
      </w:pPr>
      <w:r>
        <w:rPr>
          <w:rFonts w:ascii="Calibri" w:cs="Calibri" w:eastAsia="Calibri" w:hAnsi="Calibri"/>
          <w:color w:val="6A6A75"/>
          <w:sz w:val="22"/>
          <w:szCs w:val="22"/>
        </w:rPr>
        <w:t xml:space="preserve">This document describes every workflow in the Research ERP: who uses it, how a candidate becomes a scholar, how documents are approved, how fees and examinations are controlled, and how records are kept.</w:t>
      </w:r>
    </w:p>
    <w:p>
      <w:r>
        <w:br w:type="page"/>
      </w:r>
    </w:p>
    <w:p>
      <w:pPr>
        <w:spacing w:after="200"/>
      </w:pPr>
      <w:r>
        <w:rPr>
          <w:rFonts w:ascii="Cambria" w:cs="Cambria" w:eastAsia="Cambria" w:hAnsi="Cambria"/>
          <w:b/>
          <w:bCs/>
          <w:color w:val="6B1E2E"/>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Purpose and overview</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What it covers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Principles followed throughout</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Roles and sign-ins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The scholar's journey at a glance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Ph.D. application and admission selection</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4.1 Application</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4.2 Application window and new batches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4.3 The nine steps of selection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4.4 Entrance, hall tickets and seating</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4.5 Merit list and waiting list</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4.6 Guide allotment and co-supervisor</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4.7 Approval before letters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4.8 What candidates see on Track application</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4.9 Reporting and documents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4.10 Finish: waiting list, archive and next session</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4.11 When a candidate counts as a scholar</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4.12 Registration numbers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4.13 Reopening a step and sample testing</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5. Supervisor recognition and profiles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5.1 Recognition</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5.2 Public Supervisors page</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5.3 Vacancy list</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6. Approval of submissions and requests</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6.1 The rule</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6.2 The approved copy</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6.3 Flows with their own approvals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7. Fees and Accounts</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7.1 Fee settings</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7.2 Verification by Accounts</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8. Course-work examinations</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9. Semester promotion</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10. Registers, lists and printed records</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10.1 Registers</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10.2 Exports</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10.3 Order and appearance of printed lists</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10.4 Attendance</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11. Public website and search visibility</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12. Notifications</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13. Data, security and storage</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14. Pending items and way forward</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Glossary</w:t>
            </w:r>
            <w:r>
              <w:tab/>
            </w:r>
            <w:r>
              <w:fldChar w:fldCharType="begin" w:dirty="true"/>
              <w:instrText xml:space="preserve">PAGEREF _Toc42 \h</w:instrText>
              <w:fldChar w:fldCharType="separate"/>
              <w:fldChar w:fldCharType="end"/>
            </w:r>
          </w:hyperlink>
        </w:p>
        <w:p>
          <w:r>
            <w:fldChar w:fldCharType="end"/>
          </w:r>
        </w:p>
      </w:sdtContent>
    </w:sdt>
    <w:p>
      <w:pPr>
        <w:spacing w:after="120" w:line="276"/>
      </w:pPr>
      <w:r>
        <w:rPr>
          <w:rFonts w:ascii="Calibri" w:cs="Calibri" w:eastAsia="Calibri" w:hAnsi="Calibri"/>
          <w:i/>
          <w:iCs/>
          <w:color w:val="6A6A75"/>
          <w:sz w:val="18"/>
          <w:szCs w:val="18"/>
        </w:rPr>
        <w:t xml:space="preserve">(If the page numbers are not shown, right-click the list and choose Update field.)</w:t>
      </w:r>
    </w:p>
    <w:p>
      <w:pPr>
        <w:pStyle w:val="Heading1"/>
        <w:pageBreakBefore/>
        <w:spacing w:after="200" w:before="0"/>
      </w:pPr>
      <w:bookmarkStart w:name="_Toc1" w:id="1"/>
      <w:r>
        <w:rPr>
          <w:rFonts w:ascii="Cambria" w:cs="Cambria" w:eastAsia="Cambria" w:hAnsi="Cambria"/>
          <w:b/>
          <w:bCs/>
          <w:color w:val="6B1E2E"/>
          <w:sz w:val="34"/>
          <w:szCs w:val="34"/>
        </w:rPr>
        <w:t xml:space="preserve">1. Purpose and overview</w:t>
      </w:r>
      <w:bookmarkEnd w:id="1"/>
    </w:p>
    <w:p>
      <w:pPr>
        <w:spacing w:after="120" w:line="276"/>
      </w:pPr>
      <w:r>
        <w:rPr>
          <w:rFonts w:ascii="Calibri" w:cs="Calibri" w:eastAsia="Calibri" w:hAnsi="Calibri"/>
          <w:color w:val="2A2A33"/>
          <w:sz w:val="22"/>
          <w:szCs w:val="22"/>
        </w:rPr>
        <w:t xml:space="preserve">The Research ERP is one web portal that runs the whole Ph.D. programme of the university, from the moment a candidate applies to the day the thesis is evaluated. It replaces paper files and spreadsheets with a single record in which every decision carries the name of the person, the date and the time.</w:t>
      </w:r>
    </w:p>
    <w:p>
      <w:pPr>
        <w:pStyle w:val="Heading2"/>
        <w:spacing w:after="100" w:before="240"/>
      </w:pPr>
      <w:bookmarkStart w:name="_Toc2" w:id="2"/>
      <w:r>
        <w:rPr>
          <w:rFonts w:ascii="Cambria" w:cs="Cambria" w:eastAsia="Cambria" w:hAnsi="Cambria"/>
          <w:b/>
          <w:bCs/>
          <w:color w:val="6B1E2E"/>
          <w:sz w:val="26"/>
          <w:szCs w:val="26"/>
        </w:rPr>
        <w:t xml:space="preserve">What it covers</w:t>
      </w:r>
      <w:bookmarkEnd w:id="2"/>
    </w:p>
    <w:p>
      <w:pPr>
        <w:pStyle w:val="ListParagraph"/>
        <w:numPr>
          <w:ilvl w:val="0"/>
          <w:numId w:val="2"/>
        </w:numPr>
        <w:spacing w:after="60" w:line="264"/>
      </w:pPr>
      <w:r>
        <w:rPr>
          <w:rFonts w:ascii="Calibri" w:cs="Calibri" w:eastAsia="Calibri" w:hAnsi="Calibri"/>
          <w:color w:val="2A2A33"/>
          <w:sz w:val="22"/>
          <w:szCs w:val="22"/>
        </w:rPr>
        <w:t xml:space="preserve">Application, entrance, merit list, guide allotment and admission of new scholars.</w:t>
      </w:r>
    </w:p>
    <w:p>
      <w:pPr>
        <w:pStyle w:val="ListParagraph"/>
        <w:numPr>
          <w:ilvl w:val="0"/>
          <w:numId w:val="2"/>
        </w:numPr>
        <w:spacing w:after="60" w:line="264"/>
      </w:pPr>
      <w:r>
        <w:rPr>
          <w:rFonts w:ascii="Calibri" w:cs="Calibri" w:eastAsia="Calibri" w:hAnsi="Calibri"/>
          <w:color w:val="2A2A33"/>
          <w:sz w:val="22"/>
          <w:szCs w:val="22"/>
        </w:rPr>
        <w:t xml:space="preserve">Registration numbers, scholar and supervisor registers, and batch-wise records.</w:t>
      </w:r>
    </w:p>
    <w:p>
      <w:pPr>
        <w:pStyle w:val="ListParagraph"/>
        <w:numPr>
          <w:ilvl w:val="0"/>
          <w:numId w:val="2"/>
        </w:numPr>
        <w:spacing w:after="60" w:line="264"/>
      </w:pPr>
      <w:r>
        <w:rPr>
          <w:rFonts w:ascii="Calibri" w:cs="Calibri" w:eastAsia="Calibri" w:hAnsi="Calibri"/>
          <w:color w:val="2A2A33"/>
          <w:sz w:val="22"/>
          <w:szCs w:val="22"/>
        </w:rPr>
        <w:t xml:space="preserve">Course-work registration, hall tickets, seating, attendance, marks entry, verification and published results.</w:t>
      </w:r>
    </w:p>
    <w:p>
      <w:pPr>
        <w:pStyle w:val="ListParagraph"/>
        <w:numPr>
          <w:ilvl w:val="0"/>
          <w:numId w:val="2"/>
        </w:numPr>
        <w:spacing w:after="60" w:line="264"/>
      </w:pPr>
      <w:r>
        <w:rPr>
          <w:rFonts w:ascii="Calibri" w:cs="Calibri" w:eastAsia="Calibri" w:hAnsi="Calibri"/>
          <w:color w:val="2A2A33"/>
          <w:sz w:val="22"/>
          <w:szCs w:val="22"/>
        </w:rPr>
        <w:t xml:space="preserve">Research Advisory Committee (RAC), doctoral committee meetings, six-month reports, synopsis and thesis.</w:t>
      </w:r>
    </w:p>
    <w:p>
      <w:pPr>
        <w:pStyle w:val="ListParagraph"/>
        <w:numPr>
          <w:ilvl w:val="0"/>
          <w:numId w:val="2"/>
        </w:numPr>
        <w:spacing w:after="60" w:line="264"/>
      </w:pPr>
      <w:r>
        <w:rPr>
          <w:rFonts w:ascii="Calibri" w:cs="Calibri" w:eastAsia="Calibri" w:hAnsi="Calibri"/>
          <w:color w:val="2A2A33"/>
          <w:sz w:val="22"/>
          <w:szCs w:val="22"/>
        </w:rPr>
        <w:t xml:space="preserve">Confidential nomination and selection of thesis evaluators.</w:t>
      </w:r>
    </w:p>
    <w:p>
      <w:pPr>
        <w:pStyle w:val="ListParagraph"/>
        <w:numPr>
          <w:ilvl w:val="0"/>
          <w:numId w:val="2"/>
        </w:numPr>
        <w:spacing w:after="60" w:line="264"/>
      </w:pPr>
      <w:r>
        <w:rPr>
          <w:rFonts w:ascii="Calibri" w:cs="Calibri" w:eastAsia="Calibri" w:hAnsi="Calibri"/>
          <w:color w:val="2A2A33"/>
          <w:sz w:val="22"/>
          <w:szCs w:val="22"/>
        </w:rPr>
        <w:t xml:space="preserve">Fee settings and fee verification by Accounts.</w:t>
      </w:r>
    </w:p>
    <w:p>
      <w:pPr>
        <w:pStyle w:val="ListParagraph"/>
        <w:numPr>
          <w:ilvl w:val="0"/>
          <w:numId w:val="2"/>
        </w:numPr>
        <w:spacing w:after="60" w:line="264"/>
      </w:pPr>
      <w:r>
        <w:rPr>
          <w:rFonts w:ascii="Calibri" w:cs="Calibri" w:eastAsia="Calibri" w:hAnsi="Calibri"/>
          <w:color w:val="2A2A33"/>
          <w:sz w:val="22"/>
          <w:szCs w:val="22"/>
        </w:rPr>
        <w:t xml:space="preserve">Supervisor recognition and the public Supervisors page.</w:t>
      </w:r>
    </w:p>
    <w:p>
      <w:pPr>
        <w:pStyle w:val="ListParagraph"/>
        <w:numPr>
          <w:ilvl w:val="0"/>
          <w:numId w:val="2"/>
        </w:numPr>
        <w:spacing w:after="60" w:line="264"/>
      </w:pPr>
      <w:r>
        <w:rPr>
          <w:rFonts w:ascii="Calibri" w:cs="Calibri" w:eastAsia="Calibri" w:hAnsi="Calibri"/>
          <w:color w:val="2A2A33"/>
          <w:sz w:val="22"/>
          <w:szCs w:val="22"/>
        </w:rPr>
        <w:t xml:space="preserve">Lists, Excel and PDF exports, attendance sheets and printed records.</w:t>
      </w:r>
    </w:p>
    <w:p>
      <w:pPr>
        <w:pStyle w:val="Heading2"/>
        <w:spacing w:after="100" w:before="240"/>
      </w:pPr>
      <w:bookmarkStart w:name="_Toc3" w:id="3"/>
      <w:r>
        <w:rPr>
          <w:rFonts w:ascii="Cambria" w:cs="Cambria" w:eastAsia="Cambria" w:hAnsi="Cambria"/>
          <w:b/>
          <w:bCs/>
          <w:color w:val="6B1E2E"/>
          <w:sz w:val="26"/>
          <w:szCs w:val="26"/>
        </w:rPr>
        <w:t xml:space="preserve">Principles followed throughout</w:t>
      </w:r>
      <w:bookmarkEnd w:id="3"/>
    </w:p>
    <w:p>
      <w:pPr>
        <w:pStyle w:val="ListParagraph"/>
        <w:numPr>
          <w:ilvl w:val="0"/>
          <w:numId w:val="2"/>
        </w:numPr>
        <w:spacing w:after="60" w:line="264"/>
      </w:pPr>
      <w:r>
        <w:rPr>
          <w:rFonts w:ascii="Calibri" w:cs="Calibri" w:eastAsia="Calibri" w:hAnsi="Calibri"/>
          <w:b/>
          <w:bCs/>
          <w:color w:val="2A2A33"/>
          <w:sz w:val="22"/>
          <w:szCs w:val="22"/>
        </w:rPr>
        <w:t xml:space="preserve">One step opens the next. </w:t>
      </w:r>
      <w:r>
        <w:rPr>
          <w:rFonts w:ascii="Calibri" w:cs="Calibri" w:eastAsia="Calibri" w:hAnsi="Calibri"/>
          <w:color w:val="2A2A33"/>
          <w:sz w:val="22"/>
          <w:szCs w:val="22"/>
        </w:rPr>
        <w:t xml:space="preserve">A step cannot be completed out of order. For example, selection starts only after the application window is closed, and a hall ticket is issued only after the fee is approved.</w:t>
      </w:r>
    </w:p>
    <w:p>
      <w:pPr>
        <w:pStyle w:val="ListParagraph"/>
        <w:numPr>
          <w:ilvl w:val="0"/>
          <w:numId w:val="2"/>
        </w:numPr>
        <w:spacing w:after="60" w:line="264"/>
      </w:pPr>
      <w:r>
        <w:rPr>
          <w:rFonts w:ascii="Calibri" w:cs="Calibri" w:eastAsia="Calibri" w:hAnsi="Calibri"/>
          <w:b/>
          <w:bCs/>
          <w:color w:val="2A2A33"/>
          <w:sz w:val="22"/>
          <w:szCs w:val="22"/>
        </w:rPr>
        <w:t xml:space="preserve">Two-level approval. </w:t>
      </w:r>
      <w:r>
        <w:rPr>
          <w:rFonts w:ascii="Calibri" w:cs="Calibri" w:eastAsia="Calibri" w:hAnsi="Calibri"/>
          <w:color w:val="2A2A33"/>
          <w:sz w:val="22"/>
          <w:szCs w:val="22"/>
        </w:rPr>
        <w:t xml:space="preserve">Everything a scholar submits goes to the Supervisor first and then to the Dean. Either may reject with comments.</w:t>
      </w:r>
    </w:p>
    <w:p>
      <w:pPr>
        <w:pStyle w:val="ListParagraph"/>
        <w:numPr>
          <w:ilvl w:val="0"/>
          <w:numId w:val="2"/>
        </w:numPr>
        <w:spacing w:after="60" w:line="264"/>
      </w:pPr>
      <w:r>
        <w:rPr>
          <w:rFonts w:ascii="Calibri" w:cs="Calibri" w:eastAsia="Calibri" w:hAnsi="Calibri"/>
          <w:b/>
          <w:bCs/>
          <w:color w:val="2A2A33"/>
          <w:sz w:val="22"/>
          <w:szCs w:val="22"/>
        </w:rPr>
        <w:t xml:space="preserve">Named records. </w:t>
      </w:r>
      <w:r>
        <w:rPr>
          <w:rFonts w:ascii="Calibri" w:cs="Calibri" w:eastAsia="Calibri" w:hAnsi="Calibri"/>
          <w:color w:val="2A2A33"/>
          <w:sz w:val="22"/>
          <w:szCs w:val="22"/>
        </w:rPr>
        <w:t xml:space="preserve">Approvals, rejections and registration numbers are stored with who, when and why.</w:t>
      </w:r>
    </w:p>
    <w:p>
      <w:pPr>
        <w:pStyle w:val="ListParagraph"/>
        <w:numPr>
          <w:ilvl w:val="0"/>
          <w:numId w:val="2"/>
        </w:numPr>
        <w:spacing w:after="60" w:line="264"/>
      </w:pPr>
      <w:r>
        <w:rPr>
          <w:rFonts w:ascii="Calibri" w:cs="Calibri" w:eastAsia="Calibri" w:hAnsi="Calibri"/>
          <w:b/>
          <w:bCs/>
          <w:color w:val="2A2A33"/>
          <w:sz w:val="22"/>
          <w:szCs w:val="22"/>
        </w:rPr>
        <w:t xml:space="preserve">Each person sees only their own menus. </w:t>
      </w:r>
      <w:r>
        <w:rPr>
          <w:rFonts w:ascii="Calibri" w:cs="Calibri" w:eastAsia="Calibri" w:hAnsi="Calibri"/>
          <w:color w:val="2A2A33"/>
          <w:sz w:val="22"/>
          <w:szCs w:val="22"/>
        </w:rPr>
        <w:t xml:space="preserve">Access is by role, with sub-menu rights granted by the administrator.</w:t>
      </w:r>
    </w:p>
    <w:p>
      <w:pPr>
        <w:pStyle w:val="Heading1"/>
        <w:pageBreakBefore/>
        <w:spacing w:after="200" w:before="0"/>
      </w:pPr>
      <w:bookmarkStart w:name="_Toc4" w:id="4"/>
      <w:r>
        <w:rPr>
          <w:rFonts w:ascii="Cambria" w:cs="Cambria" w:eastAsia="Cambria" w:hAnsi="Cambria"/>
          <w:b/>
          <w:bCs/>
          <w:color w:val="6B1E2E"/>
          <w:sz w:val="34"/>
          <w:szCs w:val="34"/>
        </w:rPr>
        <w:t xml:space="preserve">2. Roles and sign-ins</w:t>
      </w:r>
      <w:bookmarkEnd w:id="4"/>
    </w:p>
    <w:p>
      <w:pPr>
        <w:spacing w:after="120" w:line="276"/>
      </w:pPr>
      <w:r>
        <w:rPr>
          <w:rFonts w:ascii="Calibri" w:cs="Calibri" w:eastAsia="Calibri" w:hAnsi="Calibri"/>
          <w:color w:val="2A2A33"/>
          <w:sz w:val="22"/>
          <w:szCs w:val="22"/>
        </w:rPr>
        <w:t xml:space="preserve">Seven kinds of sign-in are used. The two Controller of Examinations (COE) sign-ins are separate so that the person who enters marks is not the person who freezes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Sign-in</w:t>
            </w:r>
          </w:p>
        </w:tc>
        <w:tc>
          <w:tcPr>
            <w:tcW w:type="dxa" w:w="33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the person sees</w:t>
            </w:r>
          </w:p>
        </w:tc>
        <w:tc>
          <w:tcPr>
            <w:tcW w:type="dxa" w:w="44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the person can do</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Scholar</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Own records; opens after the admission checklist is submitted</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Submits documents and requests, pays fees, registers for course work, downloads hall tickets and results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Supervisor</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Own scholars, requests, RAC, evaluator nominations, synopsis and thesis</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Approves or rejects scholars' submissions; nominates the RAC and the thesis evaluators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Administrator</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Everything</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Runs admission, settings, users, reopening of steps, publication of results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Staff</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Menus granted by the administrator</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Completes the open admission step and records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Dean</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Menus granted by the administrator</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Gives the final approval to submissions and requests; approves the RAC; checks evaluator nominees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Accounts</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Five fee menus only</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Verifies or rejects fee payments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Vice Chancellor</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Scholar register, Supervisor register, Thesis evaluators</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Reads the registers; selects the thesis evaluators</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COE: marks entry</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Course-work marks</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Enters marks for papers; several such sign-ins may work together</w:t>
            </w:r>
          </w:p>
        </w:tc>
      </w:tr>
      <w:tr>
        <w:trPr>
          <w:cantSplit/>
        </w:trPr>
        <w:tc>
          <w:tcPr>
            <w:tcW w:type="dxa" w:w="19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COE: verification</w:t>
            </w:r>
          </w:p>
        </w:tc>
        <w:tc>
          <w:tcPr>
            <w:tcW w:type="dxa" w:w="33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Course-work marks and files</w:t>
            </w:r>
          </w:p>
        </w:tc>
        <w:tc>
          <w:tcPr>
            <w:tcW w:type="dxa" w:w="4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Checks, sends back or freezes marks; submits the file to the research office</w:t>
            </w:r>
          </w:p>
        </w:tc>
      </w:tr>
    </w:tbl>
    <w:p>
      <w:pPr>
        <w:spacing w:after="120"/>
      </w:pPr>
    </w:p>
    <w:p>
      <w:pPr>
        <w:spacing w:after="120" w:line="276"/>
      </w:pPr>
      <w:r>
        <w:rPr>
          <w:rFonts w:ascii="Calibri" w:cs="Calibri" w:eastAsia="Calibri" w:hAnsi="Calibri"/>
          <w:color w:val="2A2A33"/>
          <w:sz w:val="22"/>
          <w:szCs w:val="22"/>
        </w:rPr>
        <w:t xml:space="preserve">Accounts, the Vice Chancellor and the two COE sign-ins start with fixed menus and cannot open scholar, supervisor or profile pages. They are created under Administration, Users.</w:t>
      </w:r>
    </w:p>
    <w:p>
      <w:pPr>
        <w:pStyle w:val="Heading1"/>
        <w:pageBreakBefore/>
        <w:spacing w:after="200" w:before="0"/>
      </w:pPr>
      <w:bookmarkStart w:name="_Toc5" w:id="5"/>
      <w:r>
        <w:rPr>
          <w:rFonts w:ascii="Cambria" w:cs="Cambria" w:eastAsia="Cambria" w:hAnsi="Cambria"/>
          <w:b/>
          <w:bCs/>
          <w:color w:val="6B1E2E"/>
          <w:sz w:val="34"/>
          <w:szCs w:val="34"/>
        </w:rPr>
        <w:t xml:space="preserve">3. The scholar's journey at a glance</w:t>
      </w:r>
      <w:bookmarkEnd w:id="5"/>
    </w:p>
    <w:p>
      <w:pPr>
        <w:spacing w:after="120" w:line="276"/>
      </w:pPr>
      <w:r>
        <w:rPr>
          <w:rFonts w:ascii="Calibri" w:cs="Calibri" w:eastAsia="Calibri" w:hAnsi="Calibri"/>
          <w:color w:val="2A2A33"/>
          <w:sz w:val="22"/>
          <w:szCs w:val="22"/>
        </w:rPr>
        <w:t xml:space="preserve">A scholar passes through the stages below in order. The ERP holds a scholar back where the rules require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tblHeader/>
        </w:trPr>
        <w:tc>
          <w:tcPr>
            <w:tcW w:type="dxa" w:w="7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No.</w:t>
            </w:r>
          </w:p>
        </w:tc>
        <w:tc>
          <w:tcPr>
            <w:tcW w:type="dxa" w:w="28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Stage</w:t>
            </w:r>
          </w:p>
        </w:tc>
        <w:tc>
          <w:tcPr>
            <w:tcW w:type="dxa" w:w="61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happens</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1</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Apply and selection</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Candidate applies online; application fee approved; scrutiny, shortlist, entrance, marks, merit list and guide allotment</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2</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Admission</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Approval recorded, provisional letter issued, documents checked, ERP sign-in opened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3</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Semester 1 and course work</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Scholar starts in semester 1; registers for the course-work examination; hall ticket; results</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4</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RAC and doctoral committee</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Supervisor nominates the RAC; Dean approves; doctoral committee meetings are held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5</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Six-month reports</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Report submitted every period and approved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6</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Synopsis</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Fee paid; synopsis submitted and approved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7</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Thesis and evaluation</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Fee paid; thesis submitted and approved; confidential evaluator panel selected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8</w:t>
            </w:r>
          </w:p>
        </w:tc>
        <w:tc>
          <w:tcPr>
            <w:tcW w:type="dxa" w:w="28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Result and viva</w:t>
            </w:r>
          </w:p>
        </w:tc>
        <w:tc>
          <w:tcPr>
            <w:tcW w:type="dxa" w:w="61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Records are closed on the register</w:t>
            </w:r>
          </w:p>
        </w:tc>
      </w:tr>
    </w:tbl>
    <w:p>
      <w:pPr>
        <w:pStyle w:val="Heading1"/>
        <w:pageBreakBefore/>
        <w:spacing w:after="200" w:before="0"/>
      </w:pPr>
      <w:bookmarkStart w:name="_Toc6" w:id="6"/>
      <w:r>
        <w:rPr>
          <w:rFonts w:ascii="Cambria" w:cs="Cambria" w:eastAsia="Cambria" w:hAnsi="Cambria"/>
          <w:b/>
          <w:bCs/>
          <w:color w:val="6B1E2E"/>
          <w:sz w:val="34"/>
          <w:szCs w:val="34"/>
        </w:rPr>
        <w:t xml:space="preserve">4. Ph.D. application and admission selection</w:t>
      </w:r>
      <w:bookmarkEnd w:id="6"/>
    </w:p>
    <w:p>
      <w:pPr>
        <w:pStyle w:val="Heading2"/>
        <w:spacing w:after="100" w:before="240"/>
      </w:pPr>
      <w:bookmarkStart w:name="_Toc7" w:id="7"/>
      <w:r>
        <w:rPr>
          <w:rFonts w:ascii="Cambria" w:cs="Cambria" w:eastAsia="Cambria" w:hAnsi="Cambria"/>
          <w:b/>
          <w:bCs/>
          <w:color w:val="6B1E2E"/>
          <w:sz w:val="26"/>
          <w:szCs w:val="26"/>
        </w:rPr>
        <w:t xml:space="preserve">4.1 Application</w:t>
      </w:r>
      <w:bookmarkEnd w:id="7"/>
    </w:p>
    <w:p>
      <w:pPr>
        <w:spacing w:after="120" w:line="276"/>
      </w:pPr>
      <w:r>
        <w:rPr>
          <w:rFonts w:ascii="Calibri" w:cs="Calibri" w:eastAsia="Calibri" w:hAnsi="Calibri"/>
          <w:color w:val="2A2A33"/>
          <w:sz w:val="22"/>
          <w:szCs w:val="22"/>
        </w:rPr>
        <w:t xml:space="preserve">A candidate reads the notice (including that the application fee is non-refundable, and the supervisor vacancies) and applies online. Subject and school list only subjects that have a vacancy. An interdisciplinary question is asked; interdisciplinary candidates still need a vacancy in the chosen subject and the guide is allotted from that subject. The application fee is approved on Applications or by Accounts, and approved applications appear in Selection.</w:t>
      </w:r>
    </w:p>
    <w:p>
      <w:pPr>
        <w:pStyle w:val="Heading2"/>
        <w:spacing w:after="100" w:before="240"/>
      </w:pPr>
      <w:bookmarkStart w:name="_Toc8" w:id="8"/>
      <w:r>
        <w:rPr>
          <w:rFonts w:ascii="Cambria" w:cs="Cambria" w:eastAsia="Cambria" w:hAnsi="Cambria"/>
          <w:b/>
          <w:bCs/>
          <w:color w:val="6B1E2E"/>
          <w:sz w:val="26"/>
          <w:szCs w:val="26"/>
        </w:rPr>
        <w:t xml:space="preserve">4.2 Application window and new batches</w:t>
      </w:r>
      <w:bookmarkEnd w:id="8"/>
    </w:p>
    <w:p>
      <w:pPr>
        <w:spacing w:after="120" w:line="276"/>
      </w:pPr>
      <w:r>
        <w:rPr>
          <w:rFonts w:ascii="Calibri" w:cs="Calibri" w:eastAsia="Calibri" w:hAnsi="Calibri"/>
          <w:color w:val="2A2A33"/>
          <w:sz w:val="22"/>
          <w:szCs w:val="22"/>
        </w:rPr>
        <w:t xml:space="preserve">When an application window is opened for a new intake (for example January 2027) the batch name is added automatically to every batch choice in the ERP: registration numbers, register filters, course work, semester promotion and reports. The window must be closed before the shortlist can be completed.</w:t>
      </w:r>
    </w:p>
    <w:p>
      <w:pPr>
        <w:pStyle w:val="Heading2"/>
        <w:spacing w:after="100" w:before="240"/>
      </w:pPr>
      <w:bookmarkStart w:name="_Toc9" w:id="9"/>
      <w:r>
        <w:rPr>
          <w:rFonts w:ascii="Cambria" w:cs="Cambria" w:eastAsia="Cambria" w:hAnsi="Cambria"/>
          <w:b/>
          <w:bCs/>
          <w:color w:val="6B1E2E"/>
          <w:sz w:val="26"/>
          <w:szCs w:val="26"/>
        </w:rPr>
        <w:t xml:space="preserve">4.3 The nine steps of selection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738"/>
      </w:tblGrid>
      <w:tr>
        <w:trPr>
          <w:tblHeader/>
        </w:trPr>
        <w:tc>
          <w:tcPr>
            <w:tcW w:type="dxa" w:w="7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Step</w:t>
            </w:r>
          </w:p>
        </w:tc>
        <w:tc>
          <w:tcPr>
            <w:tcW w:type="dxa" w:w="22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Name</w:t>
            </w:r>
          </w:p>
        </w:tc>
        <w:tc>
          <w:tcPr>
            <w:tcW w:type="dxa" w:w="67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the office does</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1</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Scrutiny</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Marks the eligibility of every application</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2</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Shortlist</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Lists the candidates called for the entrance</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3</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Entrance</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Generates hall tickets, arranges seating and panels, marks attendance Present or Absent</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4</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Marks</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Enters entrance and interview marks by panel</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5</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Merit list</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Prepares the selection list and the waiting list, subject by subject</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6</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Guide</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Prepares the provisional list and allots guides, and co-supervisors where needed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7</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Letters</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Issues provisional admission letters after the approval is recorded</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8</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Reporting</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Checks documents and submits the checklist</w:t>
            </w:r>
          </w:p>
        </w:tc>
      </w:tr>
      <w:tr>
        <w:trPr>
          <w:cantSplit/>
        </w:trPr>
        <w:tc>
          <w:tcPr>
            <w:tcW w:type="dxa" w:w="7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9</w:t>
            </w:r>
          </w:p>
        </w:tc>
        <w:tc>
          <w:tcPr>
            <w:tcW w:type="dxa" w:w="2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Finish</w:t>
            </w:r>
          </w:p>
        </w:tc>
        <w:tc>
          <w:tcPr>
            <w:tcW w:type="dxa" w:w="67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Offers vacant seats to the waiting list, archives the session and starts the next window</w:t>
            </w:r>
          </w:p>
        </w:tc>
      </w:tr>
    </w:tbl>
    <w:p>
      <w:pPr>
        <w:spacing w:after="120"/>
      </w:pPr>
    </w:p>
    <w:p>
      <w:pPr>
        <w:pStyle w:val="Heading2"/>
        <w:spacing w:after="100" w:before="240"/>
      </w:pPr>
      <w:bookmarkStart w:name="_Toc10" w:id="10"/>
      <w:r>
        <w:rPr>
          <w:rFonts w:ascii="Cambria" w:cs="Cambria" w:eastAsia="Cambria" w:hAnsi="Cambria"/>
          <w:b/>
          <w:bCs/>
          <w:color w:val="6B1E2E"/>
          <w:sz w:val="26"/>
          <w:szCs w:val="26"/>
        </w:rPr>
        <w:t xml:space="preserve">4.4 Entrance, hall tickets and seating</w:t>
      </w:r>
      <w:bookmarkEnd w:id="10"/>
    </w:p>
    <w:p>
      <w:pPr>
        <w:spacing w:after="120" w:line="276"/>
      </w:pPr>
      <w:r>
        <w:rPr>
          <w:rFonts w:ascii="Calibri" w:cs="Calibri" w:eastAsia="Calibri" w:hAnsi="Calibri"/>
          <w:color w:val="2A2A33"/>
          <w:sz w:val="22"/>
          <w:szCs w:val="22"/>
        </w:rPr>
        <w:t xml:space="preserve">For each examination venue the office lists its rooms and the seats in each. After the hall tickets are generated, the seating arrangement takes the candidates of each venue in hall ticket order and fills the rooms in the order listed. Within a room, candidates of the same subject are kept apart. A venue without enough seats is reported; nobody is left unseated silently. The room and seat are printed on the hall ticket and the attendance sheet. Large seating-plan sheets can be printed for the notice board, one page per venue and one per room.</w:t>
      </w:r>
    </w:p>
    <w:p>
      <w:pPr>
        <w:pStyle w:val="Heading2"/>
        <w:spacing w:after="100" w:before="240"/>
      </w:pPr>
      <w:bookmarkStart w:name="_Toc11" w:id="11"/>
      <w:r>
        <w:rPr>
          <w:rFonts w:ascii="Cambria" w:cs="Cambria" w:eastAsia="Cambria" w:hAnsi="Cambria"/>
          <w:b/>
          <w:bCs/>
          <w:color w:val="6B1E2E"/>
          <w:sz w:val="26"/>
          <w:szCs w:val="26"/>
        </w:rPr>
        <w:t xml:space="preserve">4.5 Merit list and waiting list</w:t>
      </w:r>
      <w:bookmarkEnd w:id="11"/>
    </w:p>
    <w:p>
      <w:pPr>
        <w:spacing w:after="120" w:line="276"/>
      </w:pPr>
      <w:r>
        <w:rPr>
          <w:rFonts w:ascii="Calibri" w:cs="Calibri" w:eastAsia="Calibri" w:hAnsi="Calibri"/>
          <w:color w:val="2A2A33"/>
          <w:sz w:val="22"/>
          <w:szCs w:val="22"/>
        </w:rPr>
        <w:t xml:space="preserve">The merit list gives the rank, marks, total and result subject by subject. Subject-wise print-outs show the selection list and the waiting list in separate boxes. The waiting list can also be exported on its own (W1, W2 and so on).</w:t>
      </w:r>
    </w:p>
    <w:p>
      <w:pPr>
        <w:pStyle w:val="Heading2"/>
        <w:spacing w:after="100" w:before="240"/>
      </w:pPr>
      <w:bookmarkStart w:name="_Toc12" w:id="12"/>
      <w:r>
        <w:rPr>
          <w:rFonts w:ascii="Cambria" w:cs="Cambria" w:eastAsia="Cambria" w:hAnsi="Cambria"/>
          <w:b/>
          <w:bCs/>
          <w:color w:val="6B1E2E"/>
          <w:sz w:val="26"/>
          <w:szCs w:val="26"/>
        </w:rPr>
        <w:t xml:space="preserve">4.6 Guide allotment and co-supervisor</w:t>
      </w:r>
      <w:bookmarkEnd w:id="12"/>
    </w:p>
    <w:p>
      <w:pPr>
        <w:spacing w:after="120" w:line="276"/>
      </w:pPr>
      <w:r>
        <w:rPr>
          <w:rFonts w:ascii="Calibri" w:cs="Calibri" w:eastAsia="Calibri" w:hAnsi="Calibri"/>
          <w:color w:val="2A2A33"/>
          <w:sz w:val="22"/>
          <w:szCs w:val="22"/>
        </w:rPr>
        <w:t xml:space="preserve">The Guide step produces the provisional list and allots a guide from the vacancy of the subject. If the application says the research is interdisciplinary, the candidate is marked Interdisciplinary and a Co-supervisor box appears. Any active supervisor other than the guide can be chosen, and a co-supervisor does not use a vacancy. The approval cannot be recorded, and the step cannot be completed, until every interdisciplinary candidate has a co-supervisor.</w:t>
      </w:r>
    </w:p>
    <w:p>
      <w:pPr>
        <w:pStyle w:val="Heading2"/>
        <w:spacing w:after="100" w:before="240"/>
      </w:pPr>
      <w:bookmarkStart w:name="_Toc13" w:id="13"/>
      <w:r>
        <w:rPr>
          <w:rFonts w:ascii="Cambria" w:cs="Cambria" w:eastAsia="Cambria" w:hAnsi="Cambria"/>
          <w:b/>
          <w:bCs/>
          <w:color w:val="6B1E2E"/>
          <w:sz w:val="26"/>
          <w:szCs w:val="26"/>
        </w:rPr>
        <w:t xml:space="preserve">4.7 Approval before letters</w:t>
      </w:r>
      <w:bookmarkEnd w:id="13"/>
    </w:p>
    <w:p>
      <w:pPr>
        <w:spacing w:after="120" w:line="276"/>
      </w:pPr>
      <w:r>
        <w:rPr>
          <w:rFonts w:ascii="Calibri" w:cs="Calibri" w:eastAsia="Calibri" w:hAnsi="Calibri"/>
          <w:color w:val="2A2A33"/>
          <w:sz w:val="22"/>
          <w:szCs w:val="22"/>
        </w:rPr>
        <w:t xml:space="preserve">The approval sheet (serial number, name, application number, subject, marks, guide, prepared by, verified by, Dean signature) goes to the Research Advisory Board or the Vice Chancellor. The approval is then recorded (body, reference, date). Letters can be issued only when the recorded approval matches the list; any later change makes the approval outdated and it must be recorded again.</w:t>
      </w:r>
    </w:p>
    <w:p>
      <w:pPr>
        <w:pStyle w:val="Heading2"/>
        <w:spacing w:after="100" w:before="240"/>
      </w:pPr>
      <w:bookmarkStart w:name="_Toc14" w:id="14"/>
      <w:r>
        <w:rPr>
          <w:rFonts w:ascii="Cambria" w:cs="Cambria" w:eastAsia="Cambria" w:hAnsi="Cambria"/>
          <w:b/>
          <w:bCs/>
          <w:color w:val="6B1E2E"/>
          <w:sz w:val="26"/>
          <w:szCs w:val="26"/>
        </w:rPr>
        <w:t xml:space="preserve">4.8 What candidates see on Track application</w:t>
      </w:r>
      <w:bookmarkEnd w:id="14"/>
    </w:p>
    <w:p>
      <w:pPr>
        <w:pStyle w:val="ListParagraph"/>
        <w:numPr>
          <w:ilvl w:val="0"/>
          <w:numId w:val="2"/>
        </w:numPr>
        <w:spacing w:after="60" w:line="264"/>
      </w:pPr>
      <w:r>
        <w:rPr>
          <w:rFonts w:ascii="Calibri" w:cs="Calibri" w:eastAsia="Calibri" w:hAnsi="Calibri"/>
          <w:color w:val="2A2A33"/>
          <w:sz w:val="22"/>
          <w:szCs w:val="22"/>
        </w:rPr>
        <w:t xml:space="preserve">During the entrance: the hall ticket can be downloaded.</w:t>
      </w:r>
    </w:p>
    <w:p>
      <w:pPr>
        <w:pStyle w:val="ListParagraph"/>
        <w:numPr>
          <w:ilvl w:val="0"/>
          <w:numId w:val="2"/>
        </w:numPr>
        <w:spacing w:after="60" w:line="264"/>
      </w:pPr>
      <w:r>
        <w:rPr>
          <w:rFonts w:ascii="Calibri" w:cs="Calibri" w:eastAsia="Calibri" w:hAnsi="Calibri"/>
          <w:color w:val="2A2A33"/>
          <w:sz w:val="22"/>
          <w:szCs w:val="22"/>
        </w:rPr>
        <w:t xml:space="preserve">After the entrance and until the approval is recorded: Under process.</w:t>
      </w:r>
    </w:p>
    <w:p>
      <w:pPr>
        <w:pStyle w:val="ListParagraph"/>
        <w:numPr>
          <w:ilvl w:val="0"/>
          <w:numId w:val="2"/>
        </w:numPr>
        <w:spacing w:after="60" w:line="264"/>
      </w:pPr>
      <w:r>
        <w:rPr>
          <w:rFonts w:ascii="Calibri" w:cs="Calibri" w:eastAsia="Calibri" w:hAnsi="Calibri"/>
          <w:color w:val="2A2A33"/>
          <w:sz w:val="22"/>
          <w:szCs w:val="22"/>
        </w:rPr>
        <w:t xml:space="preserve">After the approval: selected candidates see the congratulations message and download the provisional letter; waiting-list candidates see their waiting status; others see Not selected.</w:t>
      </w:r>
    </w:p>
    <w:p>
      <w:pPr>
        <w:pStyle w:val="ListParagraph"/>
        <w:numPr>
          <w:ilvl w:val="0"/>
          <w:numId w:val="2"/>
        </w:numPr>
        <w:spacing w:after="60" w:line="264"/>
      </w:pPr>
      <w:r>
        <w:rPr>
          <w:rFonts w:ascii="Calibri" w:cs="Calibri" w:eastAsia="Calibri" w:hAnsi="Calibri"/>
          <w:color w:val="2A2A33"/>
          <w:sz w:val="22"/>
          <w:szCs w:val="22"/>
        </w:rPr>
        <w:t xml:space="preserve">After the office verifies the documents and opens the sign-in: a message to log in to the scholar portal.</w:t>
      </w:r>
    </w:p>
    <w:p>
      <w:pPr>
        <w:pStyle w:val="Heading2"/>
        <w:spacing w:after="100" w:before="240"/>
      </w:pPr>
      <w:bookmarkStart w:name="_Toc15" w:id="15"/>
      <w:r>
        <w:rPr>
          <w:rFonts w:ascii="Cambria" w:cs="Cambria" w:eastAsia="Cambria" w:hAnsi="Cambria"/>
          <w:b/>
          <w:bCs/>
          <w:color w:val="6B1E2E"/>
          <w:sz w:val="26"/>
          <w:szCs w:val="26"/>
        </w:rPr>
        <w:t xml:space="preserve">4.9 Reporting and documents</w:t>
      </w:r>
      <w:bookmarkEnd w:id="15"/>
    </w:p>
    <w:p>
      <w:pPr>
        <w:spacing w:after="120" w:line="276"/>
      </w:pPr>
      <w:r>
        <w:rPr>
          <w:rFonts w:ascii="Calibri" w:cs="Calibri" w:eastAsia="Calibri" w:hAnsi="Calibri"/>
          <w:color w:val="2A2A33"/>
          <w:sz w:val="22"/>
          <w:szCs w:val="22"/>
        </w:rPr>
        <w:t xml:space="preserve">Reporting and Finish open together, only after the Letters step is complete. The candidate reports with the original documents. The office marks each document Received, Not applicable (optional items) or Missing. A document may be Missing and the checklist still submitted; the scholar is then asked to submit it within 10 days. Submitting the checklist opens the scholar's ERP sign-in and mails the login details.</w:t>
      </w:r>
    </w:p>
    <w:p>
      <w:pPr>
        <w:pStyle w:val="Heading2"/>
        <w:spacing w:after="100" w:before="240"/>
      </w:pPr>
      <w:bookmarkStart w:name="_Toc16" w:id="16"/>
      <w:r>
        <w:rPr>
          <w:rFonts w:ascii="Cambria" w:cs="Cambria" w:eastAsia="Cambria" w:hAnsi="Cambria"/>
          <w:b/>
          <w:bCs/>
          <w:color w:val="6B1E2E"/>
          <w:sz w:val="26"/>
          <w:szCs w:val="26"/>
        </w:rPr>
        <w:t xml:space="preserve">4.10 Finish: waiting list, archive and next session</w:t>
      </w:r>
      <w:bookmarkEnd w:id="16"/>
    </w:p>
    <w:p>
      <w:pPr>
        <w:pStyle w:val="ListParagraph"/>
        <w:numPr>
          <w:ilvl w:val="0"/>
          <w:numId w:val="2"/>
        </w:numPr>
        <w:spacing w:after="60" w:line="264"/>
      </w:pPr>
      <w:r>
        <w:rPr>
          <w:rFonts w:ascii="Calibri" w:cs="Calibri" w:eastAsia="Calibri" w:hAnsi="Calibri"/>
          <w:b/>
          <w:bCs/>
          <w:color w:val="2A2A33"/>
          <w:sz w:val="22"/>
          <w:szCs w:val="22"/>
        </w:rPr>
        <w:t xml:space="preserve">Waiting list. </w:t>
      </w:r>
      <w:r>
        <w:rPr>
          <w:rFonts w:ascii="Calibri" w:cs="Calibri" w:eastAsia="Calibri" w:hAnsi="Calibri"/>
          <w:color w:val="2A2A33"/>
          <w:sz w:val="22"/>
          <w:szCs w:val="22"/>
        </w:rPr>
        <w:t xml:space="preserve">Where a selected candidate did not report or declined, the seat is vacant and is offered to the first candidate on that subject's waiting list, who then goes through the same guide, letter and verification steps.</w:t>
      </w:r>
    </w:p>
    <w:p>
      <w:pPr>
        <w:pStyle w:val="ListParagraph"/>
        <w:numPr>
          <w:ilvl w:val="0"/>
          <w:numId w:val="2"/>
        </w:numPr>
        <w:spacing w:after="60" w:line="264"/>
      </w:pPr>
      <w:r>
        <w:rPr>
          <w:rFonts w:ascii="Calibri" w:cs="Calibri" w:eastAsia="Calibri" w:hAnsi="Calibri"/>
          <w:b/>
          <w:bCs/>
          <w:color w:val="2A2A33"/>
          <w:sz w:val="22"/>
          <w:szCs w:val="22"/>
        </w:rPr>
        <w:t xml:space="preserve">Finish selection and archive (administrator only). </w:t>
      </w:r>
      <w:r>
        <w:rPr>
          <w:rFonts w:ascii="Calibri" w:cs="Calibri" w:eastAsia="Calibri" w:hAnsi="Calibri"/>
          <w:color w:val="2A2A33"/>
          <w:sz w:val="22"/>
          <w:szCs w:val="22"/>
        </w:rPr>
        <w:t xml:space="preserve">Allowed when every selected candidate is verified or marked Not reported. All admitted scholars are linked to their guides and start in semester 1; every unselected, waiting-list or not-reported file moves to the admission archive; the desk returns to step 1.</w:t>
      </w:r>
    </w:p>
    <w:p>
      <w:pPr>
        <w:pStyle w:val="ListParagraph"/>
        <w:numPr>
          <w:ilvl w:val="0"/>
          <w:numId w:val="2"/>
        </w:numPr>
        <w:spacing w:after="60" w:line="264"/>
      </w:pPr>
      <w:r>
        <w:rPr>
          <w:rFonts w:ascii="Calibri" w:cs="Calibri" w:eastAsia="Calibri" w:hAnsi="Calibri"/>
          <w:b/>
          <w:bCs/>
          <w:color w:val="2A2A33"/>
          <w:sz w:val="22"/>
          <w:szCs w:val="22"/>
        </w:rPr>
        <w:t xml:space="preserve">Next session. </w:t>
      </w:r>
      <w:r>
        <w:rPr>
          <w:rFonts w:ascii="Calibri" w:cs="Calibri" w:eastAsia="Calibri" w:hAnsi="Calibri"/>
          <w:color w:val="2A2A33"/>
          <w:sz w:val="22"/>
          <w:szCs w:val="22"/>
        </w:rPr>
        <w:t xml:space="preserve">The application window dialog opens with the next session filled in (January becomes July of the same year, July becomes January of the next year) and the window switched on.</w:t>
      </w:r>
    </w:p>
    <w:p>
      <w:pPr>
        <w:pStyle w:val="Heading2"/>
        <w:spacing w:after="100" w:before="240"/>
      </w:pPr>
      <w:bookmarkStart w:name="_Toc17" w:id="17"/>
      <w:r>
        <w:rPr>
          <w:rFonts w:ascii="Cambria" w:cs="Cambria" w:eastAsia="Cambria" w:hAnsi="Cambria"/>
          <w:b/>
          <w:bCs/>
          <w:color w:val="6B1E2E"/>
          <w:sz w:val="26"/>
          <w:szCs w:val="26"/>
        </w:rPr>
        <w:t xml:space="preserve">4.11 When a candidate counts as a scholar</w:t>
      </w:r>
      <w:bookmarkEnd w:id="17"/>
    </w:p>
    <w:p>
      <w:pPr>
        <w:spacing w:after="120" w:line="276"/>
      </w:pPr>
      <w:r>
        <w:rPr>
          <w:rFonts w:ascii="Calibri" w:cs="Calibri" w:eastAsia="Calibri" w:hAnsi="Calibri"/>
          <w:color w:val="2A2A33"/>
          <w:sz w:val="22"/>
          <w:szCs w:val="22"/>
        </w:rPr>
        <w:t xml:space="preserve">A selected candidate with a guide remains a candidate on the Selection desk. The candidate becomes a scholar of the ERP, and is counted in the Scholar register batch figures, only when the documents are verified and the checklist is submitted. The batch counts agree across the Scholar register, Scholar information and Registration numbers.</w:t>
      </w:r>
    </w:p>
    <w:p>
      <w:pPr>
        <w:pStyle w:val="Heading2"/>
        <w:spacing w:after="100" w:before="240"/>
      </w:pPr>
      <w:bookmarkStart w:name="_Toc18" w:id="18"/>
      <w:r>
        <w:rPr>
          <w:rFonts w:ascii="Cambria" w:cs="Cambria" w:eastAsia="Cambria" w:hAnsi="Cambria"/>
          <w:b/>
          <w:bCs/>
          <w:color w:val="6B1E2E"/>
          <w:sz w:val="26"/>
          <w:szCs w:val="26"/>
        </w:rPr>
        <w:t xml:space="preserve">4.12 Registration numbers</w:t>
      </w:r>
      <w:bookmarkEnd w:id="18"/>
    </w:p>
    <w:p>
      <w:pPr>
        <w:spacing w:after="120" w:line="276"/>
      </w:pPr>
      <w:r>
        <w:rPr>
          <w:rFonts w:ascii="Calibri" w:cs="Calibri" w:eastAsia="Calibri" w:hAnsi="Calibri"/>
          <w:color w:val="2A2A33"/>
          <w:sz w:val="22"/>
          <w:szCs w:val="22"/>
        </w:rPr>
        <w:t xml:space="preserve">The registration number is generated by the Controller of Examinations. The Finish step exports the list for the COE (serial number, name, department, school, guide, guide campus and a blank Registration No. column). The numbers received are recorded once, batch by batch, by typing them in or by uploading the template. A number is permanent: once recorded it cannot be changed or replaced anywhere in the ERP. Each recording is kept with its date and in the audit trail. A batch with nothing left to allot is marked completed.</w:t>
      </w:r>
    </w:p>
    <w:p>
      <w:pPr>
        <w:pStyle w:val="Heading2"/>
        <w:spacing w:after="100" w:before="240"/>
      </w:pPr>
      <w:bookmarkStart w:name="_Toc19" w:id="19"/>
      <w:r>
        <w:rPr>
          <w:rFonts w:ascii="Cambria" w:cs="Cambria" w:eastAsia="Cambria" w:hAnsi="Cambria"/>
          <w:b/>
          <w:bCs/>
          <w:color w:val="6B1E2E"/>
          <w:sz w:val="26"/>
          <w:szCs w:val="26"/>
        </w:rPr>
        <w:t xml:space="preserve">4.13 Reopening a step and sample testing</w:t>
      </w:r>
      <w:bookmarkEnd w:id="19"/>
    </w:p>
    <w:p>
      <w:pPr>
        <w:spacing w:after="120" w:line="276"/>
      </w:pPr>
      <w:r>
        <w:rPr>
          <w:rFonts w:ascii="Calibri" w:cs="Calibri" w:eastAsia="Calibri" w:hAnsi="Calibri"/>
          <w:color w:val="2A2A33"/>
          <w:sz w:val="22"/>
          <w:szCs w:val="22"/>
        </w:rPr>
        <w:t xml:space="preserve">The administrator can reopen a step; this deletes the work done in that step so that it is done again in full. Taking a step back also removes the scholars already admitted in the session from the ERP. For sample testing, Discard this session (confirmed by typing DISCARD) deletes every application of the running session, the selection file and the admitted scholars with their ERP records, so a test leaves nothing behind.</w:t>
      </w:r>
    </w:p>
    <w:p>
      <w:pPr>
        <w:pStyle w:val="Heading1"/>
        <w:pageBreakBefore/>
        <w:spacing w:after="200" w:before="0"/>
      </w:pPr>
      <w:bookmarkStart w:name="_Toc20" w:id="20"/>
      <w:r>
        <w:rPr>
          <w:rFonts w:ascii="Cambria" w:cs="Cambria" w:eastAsia="Cambria" w:hAnsi="Cambria"/>
          <w:b/>
          <w:bCs/>
          <w:color w:val="6B1E2E"/>
          <w:sz w:val="34"/>
          <w:szCs w:val="34"/>
        </w:rPr>
        <w:t xml:space="preserve">5. Supervisor recognition and profiles</w:t>
      </w:r>
      <w:bookmarkEnd w:id="20"/>
    </w:p>
    <w:p>
      <w:pPr>
        <w:pStyle w:val="Heading2"/>
        <w:spacing w:after="100" w:before="240"/>
      </w:pPr>
      <w:bookmarkStart w:name="_Toc21" w:id="21"/>
      <w:r>
        <w:rPr>
          <w:rFonts w:ascii="Cambria" w:cs="Cambria" w:eastAsia="Cambria" w:hAnsi="Cambria"/>
          <w:b/>
          <w:bCs/>
          <w:color w:val="6B1E2E"/>
          <w:sz w:val="26"/>
          <w:szCs w:val="26"/>
        </w:rPr>
        <w:t xml:space="preserve">5.1 Recognition</w:t>
      </w:r>
      <w:bookmarkEnd w:id="21"/>
    </w:p>
    <w:p>
      <w:pPr>
        <w:pStyle w:val="ListParagraph"/>
        <w:numPr>
          <w:ilvl w:val="0"/>
          <w:numId w:val="3"/>
        </w:numPr>
        <w:spacing w:after="80" w:line="264"/>
      </w:pPr>
      <w:r>
        <w:rPr>
          <w:rFonts w:ascii="Calibri" w:cs="Calibri" w:eastAsia="Calibri" w:hAnsi="Calibri"/>
          <w:color w:val="2A2A33"/>
          <w:sz w:val="22"/>
          <w:szCs w:val="22"/>
        </w:rPr>
        <w:t xml:space="preserve">A supervisor applies online and receives an acknowledgement e-mail.</w:t>
      </w:r>
    </w:p>
    <w:p>
      <w:pPr>
        <w:pStyle w:val="ListParagraph"/>
        <w:numPr>
          <w:ilvl w:val="0"/>
          <w:numId w:val="3"/>
        </w:numPr>
        <w:spacing w:after="80" w:line="264"/>
      </w:pPr>
      <w:r>
        <w:rPr>
          <w:rFonts w:ascii="Calibri" w:cs="Calibri" w:eastAsia="Calibri" w:hAnsi="Calibri"/>
          <w:color w:val="2A2A33"/>
          <w:sz w:val="22"/>
          <w:szCs w:val="22"/>
        </w:rPr>
        <w:t xml:space="preserve">The research office ticks the eligibility conditions for each applicant and sets the guide quota.</w:t>
      </w:r>
    </w:p>
    <w:p>
      <w:pPr>
        <w:pStyle w:val="ListParagraph"/>
        <w:numPr>
          <w:ilvl w:val="0"/>
          <w:numId w:val="3"/>
        </w:numPr>
        <w:spacing w:after="80" w:line="264"/>
      </w:pPr>
      <w:r>
        <w:rPr>
          <w:rFonts w:ascii="Calibri" w:cs="Calibri" w:eastAsia="Calibri" w:hAnsi="Calibri"/>
          <w:color w:val="2A2A33"/>
          <w:sz w:val="22"/>
          <w:szCs w:val="22"/>
        </w:rPr>
        <w:t xml:space="preserve">The eligible applicants are listed on an approval sheet (prepared by, verified by, Dean signature) for the Research Advisory Board or the Vice Chancellor.</w:t>
      </w:r>
    </w:p>
    <w:p>
      <w:pPr>
        <w:pStyle w:val="ListParagraph"/>
        <w:numPr>
          <w:ilvl w:val="0"/>
          <w:numId w:val="3"/>
        </w:numPr>
        <w:spacing w:after="80" w:line="264"/>
      </w:pPr>
      <w:r>
        <w:rPr>
          <w:rFonts w:ascii="Calibri" w:cs="Calibri" w:eastAsia="Calibri" w:hAnsi="Calibri"/>
          <w:color w:val="2A2A33"/>
          <w:sz w:val="22"/>
          <w:szCs w:val="22"/>
        </w:rPr>
        <w:t xml:space="preserve">Recording the approval adds the supervisors to the vacancy list, opens their ERP sign-in and mails the login details and the recognition notice.</w:t>
      </w:r>
    </w:p>
    <w:p>
      <w:pPr>
        <w:pStyle w:val="ListParagraph"/>
        <w:numPr>
          <w:ilvl w:val="0"/>
          <w:numId w:val="3"/>
        </w:numPr>
        <w:spacing w:after="80" w:line="264"/>
      </w:pPr>
      <w:r>
        <w:rPr>
          <w:rFonts w:ascii="Calibri" w:cs="Calibri" w:eastAsia="Calibri" w:hAnsi="Calibri"/>
          <w:color w:val="2A2A33"/>
          <w:sz w:val="22"/>
          <w:szCs w:val="22"/>
        </w:rPr>
        <w:t xml:space="preserve">The supervisor downloads the recognition letter from the status page using the application number and date of birth.</w:t>
      </w:r>
    </w:p>
    <w:p>
      <w:pPr>
        <w:pStyle w:val="Heading2"/>
        <w:spacing w:after="100" w:before="240"/>
      </w:pPr>
      <w:bookmarkStart w:name="_Toc22" w:id="22"/>
      <w:r>
        <w:rPr>
          <w:rFonts w:ascii="Cambria" w:cs="Cambria" w:eastAsia="Cambria" w:hAnsi="Cambria"/>
          <w:b/>
          <w:bCs/>
          <w:color w:val="6B1E2E"/>
          <w:sz w:val="26"/>
          <w:szCs w:val="26"/>
        </w:rPr>
        <w:t xml:space="preserve">5.2 Public Supervisors page</w:t>
      </w:r>
      <w:bookmarkEnd w:id="22"/>
    </w:p>
    <w:p>
      <w:pPr>
        <w:spacing w:after="120" w:line="276"/>
      </w:pPr>
      <w:r>
        <w:rPr>
          <w:rFonts w:ascii="Calibri" w:cs="Calibri" w:eastAsia="Calibri" w:hAnsi="Calibri"/>
          <w:color w:val="2A2A33"/>
          <w:sz w:val="22"/>
          <w:szCs w:val="22"/>
        </w:rPr>
        <w:t xml:space="preserve">For each supervisor the research office prepares a photograph, a biography of up to 200 words, the area of research and the Vidwan ID (shown as a link). Profiles marked for display appear on the public Supervisors page, one profile per line.</w:t>
      </w:r>
    </w:p>
    <w:p>
      <w:pPr>
        <w:pStyle w:val="Heading2"/>
        <w:spacing w:after="100" w:before="240"/>
      </w:pPr>
      <w:bookmarkStart w:name="_Toc23" w:id="23"/>
      <w:r>
        <w:rPr>
          <w:rFonts w:ascii="Cambria" w:cs="Cambria" w:eastAsia="Cambria" w:hAnsi="Cambria"/>
          <w:b/>
          <w:bCs/>
          <w:color w:val="6B1E2E"/>
          <w:sz w:val="26"/>
          <w:szCs w:val="26"/>
        </w:rPr>
        <w:t xml:space="preserve">5.3 Vacancy list</w:t>
      </w:r>
      <w:bookmarkEnd w:id="23"/>
    </w:p>
    <w:p>
      <w:pPr>
        <w:spacing w:after="120" w:line="276"/>
      </w:pPr>
      <w:r>
        <w:rPr>
          <w:rFonts w:ascii="Calibri" w:cs="Calibri" w:eastAsia="Calibri" w:hAnsi="Calibri"/>
          <w:color w:val="2A2A33"/>
          <w:sz w:val="22"/>
          <w:szCs w:val="22"/>
        </w:rPr>
        <w:t xml:space="preserve">The vacancy list is kept inside the ERP and is not shown on the public site. It is used when guides are allotted and is reduced automatically as each candidate is admitted to a supervisor.</w:t>
      </w:r>
    </w:p>
    <w:p>
      <w:pPr>
        <w:pStyle w:val="Heading1"/>
        <w:pageBreakBefore/>
        <w:spacing w:after="200" w:before="0"/>
      </w:pPr>
      <w:bookmarkStart w:name="_Toc24" w:id="24"/>
      <w:r>
        <w:rPr>
          <w:rFonts w:ascii="Cambria" w:cs="Cambria" w:eastAsia="Cambria" w:hAnsi="Cambria"/>
          <w:b/>
          <w:bCs/>
          <w:color w:val="6B1E2E"/>
          <w:sz w:val="34"/>
          <w:szCs w:val="34"/>
        </w:rPr>
        <w:t xml:space="preserve">6. Approval of submissions and requests</w:t>
      </w:r>
      <w:bookmarkEnd w:id="24"/>
    </w:p>
    <w:p>
      <w:pPr>
        <w:pStyle w:val="Heading2"/>
        <w:spacing w:after="100" w:before="240"/>
      </w:pPr>
      <w:bookmarkStart w:name="_Toc25" w:id="25"/>
      <w:r>
        <w:rPr>
          <w:rFonts w:ascii="Cambria" w:cs="Cambria" w:eastAsia="Cambria" w:hAnsi="Cambria"/>
          <w:b/>
          <w:bCs/>
          <w:color w:val="6B1E2E"/>
          <w:sz w:val="26"/>
          <w:szCs w:val="26"/>
        </w:rPr>
        <w:t xml:space="preserve">6.1 The rule</w:t>
      </w:r>
      <w:bookmarkEnd w:id="25"/>
    </w:p>
    <w:p>
      <w:pPr>
        <w:spacing w:after="120" w:line="276"/>
      </w:pPr>
      <w:r>
        <w:rPr>
          <w:rFonts w:ascii="Calibri" w:cs="Calibri" w:eastAsia="Calibri" w:hAnsi="Calibri"/>
          <w:color w:val="2A2A33"/>
          <w:sz w:val="22"/>
          <w:szCs w:val="22"/>
        </w:rPr>
        <w:t xml:space="preserve">Everything a scholar submits or requests goes to the Supervisor first. Only after the Supervisor approves does it go to the Dean for the final decision. The decision is returned to the scholar as Approved or Rejected, with comments. If it is rejected, the scholar corrects it and submits again.</w:t>
      </w:r>
    </w:p>
    <w:p>
      <w:pPr>
        <w:spacing w:after="120" w:line="276"/>
      </w:pPr>
      <w:r>
        <w:rPr>
          <w:rFonts w:ascii="Calibri" w:cs="Calibri" w:eastAsia="Calibri" w:hAnsi="Calibri"/>
          <w:color w:val="2A2A33"/>
          <w:sz w:val="22"/>
          <w:szCs w:val="22"/>
        </w:rPr>
        <w:t xml:space="preserve">This covers: doctoral committee reports, synopsis, thesis, six-month report, ABC ID, change of study mode, title change, extension, supervisor change, leave, Ph.D. cancellation and publications.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Status shown to the scholar</w:t>
            </w:r>
          </w:p>
        </w:tc>
        <w:tc>
          <w:tcPr>
            <w:tcW w:type="dxa" w:w="66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Meaning</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Submitted to Supervisor</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Waiting for the supervisor's decision</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Approved by Supervisor</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Approved by the supervisor and submitted to the Dean</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Approved by Dean</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Final approval given</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Rejected by Supervisor</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Sent back with the supervisor's comments</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Rejected by Dean</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Sent back with the Dean's comments</w:t>
            </w:r>
          </w:p>
        </w:tc>
      </w:tr>
    </w:tbl>
    <w:p>
      <w:pPr>
        <w:spacing w:after="120"/>
      </w:pPr>
    </w:p>
    <w:p>
      <w:pPr>
        <w:pStyle w:val="ListParagraph"/>
        <w:numPr>
          <w:ilvl w:val="0"/>
          <w:numId w:val="2"/>
        </w:numPr>
        <w:spacing w:after="60" w:line="264"/>
      </w:pPr>
      <w:r>
        <w:rPr>
          <w:rFonts w:ascii="Calibri" w:cs="Calibri" w:eastAsia="Calibri" w:hAnsi="Calibri"/>
          <w:color w:val="2A2A33"/>
          <w:sz w:val="22"/>
          <w:szCs w:val="22"/>
        </w:rPr>
        <w:t xml:space="preserve">The Dean cannot decide before the Supervisor has approved. Only the Dean or the administrator can give the final decision.</w:t>
      </w:r>
    </w:p>
    <w:p>
      <w:pPr>
        <w:pStyle w:val="ListParagraph"/>
        <w:numPr>
          <w:ilvl w:val="0"/>
          <w:numId w:val="2"/>
        </w:numPr>
        <w:spacing w:after="60" w:line="264"/>
      </w:pPr>
      <w:r>
        <w:rPr>
          <w:rFonts w:ascii="Calibri" w:cs="Calibri" w:eastAsia="Calibri" w:hAnsi="Calibri"/>
          <w:color w:val="2A2A33"/>
          <w:sz w:val="22"/>
          <w:szCs w:val="22"/>
        </w:rPr>
        <w:t xml:space="preserve">A comment is mandatory when rejecting.</w:t>
      </w:r>
    </w:p>
    <w:p>
      <w:pPr>
        <w:pStyle w:val="ListParagraph"/>
        <w:numPr>
          <w:ilvl w:val="0"/>
          <w:numId w:val="2"/>
        </w:numPr>
        <w:spacing w:after="60" w:line="264"/>
      </w:pPr>
      <w:r>
        <w:rPr>
          <w:rFonts w:ascii="Calibri" w:cs="Calibri" w:eastAsia="Calibri" w:hAnsi="Calibri"/>
          <w:color w:val="2A2A33"/>
          <w:sz w:val="22"/>
          <w:szCs w:val="22"/>
        </w:rPr>
        <w:t xml:space="preserve">A scholar with no guide on record goes straight to the Dean.</w:t>
      </w:r>
    </w:p>
    <w:p>
      <w:pPr>
        <w:pStyle w:val="Heading2"/>
        <w:spacing w:after="100" w:before="240"/>
      </w:pPr>
      <w:bookmarkStart w:name="_Toc26" w:id="26"/>
      <w:r>
        <w:rPr>
          <w:rFonts w:ascii="Cambria" w:cs="Cambria" w:eastAsia="Cambria" w:hAnsi="Cambria"/>
          <w:b/>
          <w:bCs/>
          <w:color w:val="6B1E2E"/>
          <w:sz w:val="26"/>
          <w:szCs w:val="26"/>
        </w:rPr>
        <w:t xml:space="preserve">6.2 The approved copy</w:t>
      </w:r>
      <w:bookmarkEnd w:id="26"/>
    </w:p>
    <w:p>
      <w:pPr>
        <w:spacing w:after="120" w:line="276"/>
      </w:pPr>
      <w:r>
        <w:rPr>
          <w:rFonts w:ascii="Calibri" w:cs="Calibri" w:eastAsia="Calibri" w:hAnsi="Calibri"/>
          <w:color w:val="2A2A33"/>
          <w:sz w:val="22"/>
          <w:szCs w:val="22"/>
        </w:rPr>
        <w:t xml:space="preserve">The Approved copy download carries the approvals. On every page a footer reads Approved by Supervisor and Approved by Dean with the name, date and time. The first page has an APPROVED stamp with both names, dates and times, and the last page is an approval record with the review trail. The scholar sees the same trail under the status.</w:t>
      </w:r>
    </w:p>
    <w:p>
      <w:pPr>
        <w:pStyle w:val="Heading2"/>
        <w:spacing w:after="100" w:before="240"/>
      </w:pPr>
      <w:bookmarkStart w:name="_Toc27" w:id="27"/>
      <w:r>
        <w:rPr>
          <w:rFonts w:ascii="Cambria" w:cs="Cambria" w:eastAsia="Cambria" w:hAnsi="Cambria"/>
          <w:b/>
          <w:bCs/>
          <w:color w:val="6B1E2E"/>
          <w:sz w:val="26"/>
          <w:szCs w:val="26"/>
        </w:rPr>
        <w:t xml:space="preserve">6.3 Flows with their own approvals</w:t>
      </w:r>
      <w:bookmarkEnd w:id="27"/>
    </w:p>
    <w:p>
      <w:pPr>
        <w:spacing w:after="120" w:line="276"/>
      </w:pPr>
      <w:r>
        <w:rPr>
          <w:rFonts w:ascii="Calibri" w:cs="Calibri" w:eastAsia="Calibri" w:hAnsi="Calibri"/>
          <w:b/>
          <w:bCs/>
          <w:color w:val="2A2A33"/>
          <w:sz w:val="22"/>
          <w:szCs w:val="22"/>
        </w:rPr>
        <w:t xml:space="preserve">Research Advisory Committee (RAC). </w:t>
      </w:r>
      <w:r>
        <w:rPr>
          <w:rFonts w:ascii="Calibri" w:cs="Calibri" w:eastAsia="Calibri" w:hAnsi="Calibri"/>
          <w:color w:val="2A2A33"/>
          <w:sz w:val="22"/>
          <w:szCs w:val="22"/>
        </w:rPr>
        <w:t xml:space="preserve">Started by the Supervisor, who nominates two internal and two external members with their designation, department, institution, contact details and specialisation. The Dean approves one internal and one external member. After approval the RAC is visible to both the supervisor and the scholar. The first doctoral committee can be conducted only after this approval for scholars admitted through Selection.</w:t>
      </w:r>
    </w:p>
    <w:p>
      <w:pPr>
        <w:spacing w:after="120" w:line="276"/>
      </w:pPr>
      <w:r>
        <w:rPr>
          <w:rFonts w:ascii="Calibri" w:cs="Calibri" w:eastAsia="Calibri" w:hAnsi="Calibri"/>
          <w:b/>
          <w:bCs/>
          <w:color w:val="2A2A33"/>
          <w:sz w:val="22"/>
          <w:szCs w:val="22"/>
        </w:rPr>
        <w:t xml:space="preserve">Thesis evaluators (confidential). </w:t>
      </w:r>
      <w:r>
        <w:rPr>
          <w:rFonts w:ascii="Calibri" w:cs="Calibri" w:eastAsia="Calibri" w:hAnsi="Calibri"/>
          <w:color w:val="2A2A33"/>
          <w:sz w:val="22"/>
          <w:szCs w:val="22"/>
        </w:rPr>
        <w:t xml:space="preserve">After the Dean accepts the synopsis, the Supervisor proposes nine evaluators: three foreign, three Indian outside Tamil Nadu and three within Tamil Nadu. The Dean checks the area of specialisation against the thesis domain and forwards the list to the Vice Chancellor; until then the Supervisor can correct it. The Vice Chancellor selects the first, second and third choice in each group. The Dean then records the invitations (invited, accepted, declined); if a first choice declines, the next is approached. Scholars never see this panel.</w:t>
      </w:r>
    </w:p>
    <w:p>
      <w:pPr>
        <w:pStyle w:val="Heading1"/>
        <w:pageBreakBefore/>
        <w:spacing w:after="200" w:before="0"/>
      </w:pPr>
      <w:bookmarkStart w:name="_Toc28" w:id="28"/>
      <w:r>
        <w:rPr>
          <w:rFonts w:ascii="Cambria" w:cs="Cambria" w:eastAsia="Cambria" w:hAnsi="Cambria"/>
          <w:b/>
          <w:bCs/>
          <w:color w:val="6B1E2E"/>
          <w:sz w:val="34"/>
          <w:szCs w:val="34"/>
        </w:rPr>
        <w:t xml:space="preserve">7. Fees and Accounts</w:t>
      </w:r>
      <w:bookmarkEnd w:id="28"/>
    </w:p>
    <w:p>
      <w:pPr>
        <w:pStyle w:val="Heading2"/>
        <w:spacing w:after="100" w:before="240"/>
      </w:pPr>
      <w:bookmarkStart w:name="_Toc29" w:id="29"/>
      <w:r>
        <w:rPr>
          <w:rFonts w:ascii="Cambria" w:cs="Cambria" w:eastAsia="Cambria" w:hAnsi="Cambria"/>
          <w:b/>
          <w:bCs/>
          <w:color w:val="6B1E2E"/>
          <w:sz w:val="26"/>
          <w:szCs w:val="26"/>
        </w:rPr>
        <w:t xml:space="preserve">7.1 Fee settings</w:t>
      </w:r>
      <w:bookmarkEnd w:id="29"/>
    </w:p>
    <w:p>
      <w:pPr>
        <w:spacing w:after="120" w:line="276"/>
      </w:pPr>
      <w:r>
        <w:rPr>
          <w:rFonts w:ascii="Calibri" w:cs="Calibri" w:eastAsia="Calibri" w:hAnsi="Calibri"/>
          <w:color w:val="2A2A33"/>
          <w:sz w:val="22"/>
          <w:szCs w:val="22"/>
        </w:rPr>
        <w:t xml:space="preserve">All fees are set in one place by the administrator: the application fee, the annual research fee (full time and part time), the synopsis fee and the thesis submission fee. A change appears automatically on the public home page, the application form and receipt, the provisional admission letter, the scholars' fee pages and the Accounts screens. Fees already paid are not changed.</w:t>
      </w:r>
    </w:p>
    <w:p>
      <w:pPr>
        <w:pStyle w:val="Heading2"/>
        <w:spacing w:after="100" w:before="240"/>
      </w:pPr>
      <w:bookmarkStart w:name="_Toc30" w:id="30"/>
      <w:r>
        <w:rPr>
          <w:rFonts w:ascii="Cambria" w:cs="Cambria" w:eastAsia="Cambria" w:hAnsi="Cambria"/>
          <w:b/>
          <w:bCs/>
          <w:color w:val="6B1E2E"/>
          <w:sz w:val="26"/>
          <w:szCs w:val="26"/>
        </w:rPr>
        <w:t xml:space="preserve">7.2 Verification by Accounts</w:t>
      </w:r>
      <w:bookmarkEnd w:id="30"/>
    </w:p>
    <w:p>
      <w:pPr>
        <w:spacing w:after="120" w:line="276"/>
      </w:pPr>
      <w:r>
        <w:rPr>
          <w:rFonts w:ascii="Calibri" w:cs="Calibri" w:eastAsia="Calibri" w:hAnsi="Calibri"/>
          <w:color w:val="2A2A33"/>
          <w:sz w:val="22"/>
          <w:szCs w:val="22"/>
        </w:rPr>
        <w:t xml:space="preserve">Accounts has five menus, each with Pending and Approved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Menu</w:t>
            </w:r>
          </w:p>
        </w:tc>
        <w:tc>
          <w:tcPr>
            <w:tcW w:type="dxa" w:w="66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Fee</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Registration fee</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 Ph.D. application fee paid with the application</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Course-work registration fee</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Fee for registering for the course-work examination</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Annual fee</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Annual research (tuition) fee receipts uploaded by scholars</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Synopsis fee</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Fee to submit the synopsis (amount fixed by the administrator)</w:t>
            </w:r>
          </w:p>
        </w:tc>
      </w:tr>
      <w:tr>
        <w:trPr>
          <w:cantSplit/>
        </w:trPr>
        <w:tc>
          <w:tcPr>
            <w:tcW w:type="dxa" w:w="3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Thesis fee</w:t>
            </w:r>
          </w:p>
        </w:tc>
        <w:tc>
          <w:tcPr>
            <w:tcW w:type="dxa" w:w="6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Fee to submit the thesis (amount fixed by the administrator)</w:t>
            </w:r>
          </w:p>
        </w:tc>
      </w:tr>
    </w:tbl>
    <w:p>
      <w:pPr>
        <w:spacing w:after="120"/>
      </w:pPr>
    </w:p>
    <w:p>
      <w:pPr>
        <w:spacing w:after="120" w:line="276"/>
      </w:pPr>
      <w:r>
        <w:rPr>
          <w:rFonts w:ascii="Calibri" w:cs="Calibri" w:eastAsia="Calibri" w:hAnsi="Calibri"/>
          <w:color w:val="2A2A33"/>
          <w:sz w:val="22"/>
          <w:szCs w:val="22"/>
        </w:rPr>
        <w:t xml:space="preserve">Accounts reviews the receipt on its own page and either approves the payment or rejects it with a required comment. A rejected payment goes back to the scholar, who adds the payment again with the correct receipt. Every list can be filtered by year and by date, searched, and exported as PDF or Excel.</w:t>
      </w:r>
    </w:p>
    <w:p>
      <w:pPr>
        <w:spacing w:after="120" w:line="276"/>
      </w:pPr>
      <w:r>
        <w:rPr>
          <w:rFonts w:ascii="Calibri" w:cs="Calibri" w:eastAsia="Calibri" w:hAnsi="Calibri"/>
          <w:b/>
          <w:bCs/>
          <w:color w:val="2A2A33"/>
          <w:sz w:val="22"/>
          <w:szCs w:val="22"/>
        </w:rPr>
        <w:t xml:space="preserve">General rule: </w:t>
      </w:r>
      <w:r>
        <w:rPr>
          <w:rFonts w:ascii="Calibri" w:cs="Calibri" w:eastAsia="Calibri" w:hAnsi="Calibri"/>
          <w:color w:val="2A2A33"/>
          <w:sz w:val="22"/>
          <w:szCs w:val="22"/>
        </w:rPr>
        <w:t xml:space="preserve">wherever a fee applies, the next option opens only after the fee is paid and its payment is approved. For example, the synopsis upload opens only after Accounts verifies a payment covering the synopsis fee.</w:t>
      </w:r>
    </w:p>
    <w:p>
      <w:pPr>
        <w:pStyle w:val="Heading1"/>
        <w:pageBreakBefore/>
        <w:spacing w:after="200" w:before="0"/>
      </w:pPr>
      <w:bookmarkStart w:name="_Toc31" w:id="31"/>
      <w:r>
        <w:rPr>
          <w:rFonts w:ascii="Cambria" w:cs="Cambria" w:eastAsia="Cambria" w:hAnsi="Cambria"/>
          <w:b/>
          <w:bCs/>
          <w:color w:val="6B1E2E"/>
          <w:sz w:val="34"/>
          <w:szCs w:val="34"/>
        </w:rPr>
        <w:t xml:space="preserve">8. Course-work examinations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Stage</w:t>
            </w:r>
          </w:p>
        </w:tc>
        <w:tc>
          <w:tcPr>
            <w:tcW w:type="dxa" w:w="70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How it works</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Subjects (administrator)</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Before registration, the administrator adds the subject code and subject title of each paper under Subjects, by semester, school and batch. Semester 1 papers are common to all scholars. Registration for a semester cannot be opened until its subjects are listed, and scholars can register only for listed subjects</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Set-up (research office)</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Campuses where scholars may write, each with rooms and seats; timetable (date and time of each paper); maximum marks, pass mark and grades (defaults 100, 50; grades O, A+, A, B+, B, C); instructions printed on the hall ticket</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Registration</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 administrator opens the registration window for the batch with a last date. The scholar picks from the listed subjects (two new papers a semester, plus any arrears), chooses the campus and uploads the fee receipt; Accounts approves or returns it</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Hall ticket</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One ticket per scholar whose fee is approved and who chose a campus; a later paper is added to the same ticket. The scholar downloads it with the papers, dates, campus, room and seat</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Seating and attendance</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Seating fills the rooms of a campus in registration-number order; a signature sheet is printed for each paper and campus; scholars are marked Present or Absent; an absentee becomes AAA</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Marks entry (COE)</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Any number of marks-entry sign-ins can work at the same time on different papers or campuses; nothing is lost if two save together. When every scholar of a paper has marks or is absent, the paper is sent for verification and locked</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Verification (COE)</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 verifier sends marks back with a note or freezes them. A frozen mark cannot be changed by anyone. When every paper is frozen the file is submitted to the research office</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Passing board</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 board's decision is recorded. Approved allows publishing. Changes suggested (for example bossing) sends the chosen papers back to marks entry; the COE corrects, the verifier freezes again and submits a final file</w:t>
            </w:r>
          </w:p>
        </w:tc>
      </w:tr>
      <w:tr>
        <w:trPr>
          <w:cantSplit/>
        </w:trPr>
        <w:tc>
          <w:tcPr>
            <w:tcW w:type="dxa" w:w="26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Publication</w:t>
            </w:r>
          </w:p>
        </w:tc>
        <w:tc>
          <w:tcPr>
            <w:tcW w:type="dxa" w:w="70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The administrator publishes: marks, grade and result (Pass, RA or AAA) are written to the scholars and cannot be changed afterwards</w:t>
            </w:r>
          </w:p>
        </w:tc>
      </w:tr>
    </w:tbl>
    <w:p>
      <w:pPr>
        <w:spacing w:after="120"/>
      </w:pPr>
    </w:p>
    <w:p>
      <w:pPr>
        <w:spacing w:after="120" w:line="276"/>
      </w:pPr>
      <w:r>
        <w:rPr>
          <w:rFonts w:ascii="Calibri" w:cs="Calibri" w:eastAsia="Calibri" w:hAnsi="Calibri"/>
          <w:color w:val="2A2A33"/>
          <w:sz w:val="22"/>
          <w:szCs w:val="22"/>
        </w:rPr>
        <w:t xml:space="preserve">Scholars see the subject, code, marks, grade and result of each paper. A paper marked RA or AAA can be registered again as an arrear. Each file keeps a log of every step (sent, frozen, submitted, board decision, final submission, publication).</w:t>
      </w:r>
    </w:p>
    <w:p>
      <w:pPr>
        <w:pStyle w:val="Heading1"/>
        <w:pageBreakBefore/>
        <w:spacing w:after="200" w:before="0"/>
      </w:pPr>
      <w:bookmarkStart w:name="_Toc32" w:id="32"/>
      <w:r>
        <w:rPr>
          <w:rFonts w:ascii="Cambria" w:cs="Cambria" w:eastAsia="Cambria" w:hAnsi="Cambria"/>
          <w:b/>
          <w:bCs/>
          <w:color w:val="6B1E2E"/>
          <w:sz w:val="34"/>
          <w:szCs w:val="34"/>
        </w:rPr>
        <w:t xml:space="preserve">9. Semester promotion</w:t>
      </w:r>
      <w:bookmarkEnd w:id="32"/>
    </w:p>
    <w:p>
      <w:pPr>
        <w:spacing w:after="120" w:line="276"/>
      </w:pPr>
      <w:r>
        <w:rPr>
          <w:rFonts w:ascii="Calibri" w:cs="Calibri" w:eastAsia="Calibri" w:hAnsi="Calibri"/>
          <w:color w:val="2A2A33"/>
          <w:sz w:val="22"/>
          <w:szCs w:val="22"/>
        </w:rPr>
        <w:t xml:space="preserve">Before a new batch is admitted, every batch is promoted so that the fresh batch starts in semester 1. Every scholar moves up one semester except those held back for any of the following reasons.</w:t>
      </w:r>
    </w:p>
    <w:p>
      <w:pPr>
        <w:pStyle w:val="ListParagraph"/>
        <w:numPr>
          <w:ilvl w:val="0"/>
          <w:numId w:val="2"/>
        </w:numPr>
        <w:spacing w:after="60" w:line="264"/>
      </w:pPr>
      <w:r>
        <w:rPr>
          <w:rFonts w:ascii="Calibri" w:cs="Calibri" w:eastAsia="Calibri" w:hAnsi="Calibri"/>
          <w:color w:val="2A2A33"/>
          <w:sz w:val="22"/>
          <w:szCs w:val="22"/>
        </w:rPr>
        <w:t xml:space="preserve">Course work not cleared (checked in semesters 1 and 2; it must be cleared within the second semester).</w:t>
      </w:r>
    </w:p>
    <w:p>
      <w:pPr>
        <w:pStyle w:val="ListParagraph"/>
        <w:numPr>
          <w:ilvl w:val="0"/>
          <w:numId w:val="2"/>
        </w:numPr>
        <w:spacing w:after="60" w:line="264"/>
      </w:pPr>
      <w:r>
        <w:rPr>
          <w:rFonts w:ascii="Calibri" w:cs="Calibri" w:eastAsia="Calibri" w:hAnsi="Calibri"/>
          <w:color w:val="2A2A33"/>
          <w:sz w:val="22"/>
          <w:szCs w:val="22"/>
        </w:rPr>
        <w:t xml:space="preserve">Six-month report not approved.</w:t>
      </w:r>
    </w:p>
    <w:p>
      <w:pPr>
        <w:pStyle w:val="ListParagraph"/>
        <w:numPr>
          <w:ilvl w:val="0"/>
          <w:numId w:val="2"/>
        </w:numPr>
        <w:spacing w:after="60" w:line="264"/>
      </w:pPr>
      <w:r>
        <w:rPr>
          <w:rFonts w:ascii="Calibri" w:cs="Calibri" w:eastAsia="Calibri" w:hAnsi="Calibri"/>
          <w:color w:val="2A2A33"/>
          <w:sz w:val="22"/>
          <w:szCs w:val="22"/>
        </w:rPr>
        <w:t xml:space="preserve">Research Advisory Committee not constituted.</w:t>
      </w:r>
    </w:p>
    <w:p>
      <w:pPr>
        <w:pStyle w:val="ListParagraph"/>
        <w:numPr>
          <w:ilvl w:val="0"/>
          <w:numId w:val="2"/>
        </w:numPr>
        <w:spacing w:after="60" w:line="264"/>
      </w:pPr>
      <w:r>
        <w:rPr>
          <w:rFonts w:ascii="Calibri" w:cs="Calibri" w:eastAsia="Calibri" w:hAnsi="Calibri"/>
          <w:color w:val="2A2A33"/>
          <w:sz w:val="22"/>
          <w:szCs w:val="22"/>
        </w:rPr>
        <w:t xml:space="preserve">First doctoral committee meeting not held.</w:t>
      </w:r>
    </w:p>
    <w:p>
      <w:pPr>
        <w:pStyle w:val="ListParagraph"/>
        <w:numPr>
          <w:ilvl w:val="0"/>
          <w:numId w:val="2"/>
        </w:numPr>
        <w:spacing w:after="60" w:line="264"/>
      </w:pPr>
      <w:r>
        <w:rPr>
          <w:rFonts w:ascii="Calibri" w:cs="Calibri" w:eastAsia="Calibri" w:hAnsi="Calibri"/>
          <w:color w:val="2A2A33"/>
          <w:sz w:val="22"/>
          <w:szCs w:val="22"/>
        </w:rPr>
        <w:t xml:space="preserve">Scholar on the passed-out list, or the scholar's supervisor on an open exit (transfer first).</w:t>
      </w:r>
    </w:p>
    <w:p>
      <w:pPr>
        <w:pStyle w:val="ListParagraph"/>
        <w:numPr>
          <w:ilvl w:val="0"/>
          <w:numId w:val="2"/>
        </w:numPr>
        <w:spacing w:after="60" w:line="264"/>
      </w:pPr>
      <w:r>
        <w:rPr>
          <w:rFonts w:ascii="Calibri" w:cs="Calibri" w:eastAsia="Calibri" w:hAnsi="Calibri"/>
          <w:color w:val="2A2A33"/>
          <w:sz w:val="22"/>
          <w:szCs w:val="22"/>
        </w:rPr>
        <w:t xml:space="preserve">Annual fee pending.</w:t>
      </w:r>
    </w:p>
    <w:p>
      <w:pPr>
        <w:spacing w:after="120" w:line="276"/>
      </w:pPr>
      <w:r>
        <w:rPr>
          <w:rFonts w:ascii="Calibri" w:cs="Calibri" w:eastAsia="Calibri" w:hAnsi="Calibri"/>
          <w:color w:val="2A2A33"/>
          <w:sz w:val="22"/>
          <w:szCs w:val="22"/>
        </w:rPr>
        <w:t xml:space="preserve">The office can tick Promote anyway for any one scholar; this is how the annual fee is exempted case by case. From semester 2 onwards, promotion is done manually under Promote a semester.</w:t>
      </w:r>
    </w:p>
    <w:p>
      <w:pPr>
        <w:pStyle w:val="Heading1"/>
        <w:pageBreakBefore/>
        <w:spacing w:after="200" w:before="0"/>
      </w:pPr>
      <w:bookmarkStart w:name="_Toc33" w:id="33"/>
      <w:r>
        <w:rPr>
          <w:rFonts w:ascii="Cambria" w:cs="Cambria" w:eastAsia="Cambria" w:hAnsi="Cambria"/>
          <w:b/>
          <w:bCs/>
          <w:color w:val="6B1E2E"/>
          <w:sz w:val="34"/>
          <w:szCs w:val="34"/>
        </w:rPr>
        <w:t xml:space="preserve">10. Registers, lists and printed records</w:t>
      </w:r>
      <w:bookmarkEnd w:id="33"/>
    </w:p>
    <w:p>
      <w:pPr>
        <w:pStyle w:val="Heading2"/>
        <w:spacing w:after="100" w:before="240"/>
      </w:pPr>
      <w:bookmarkStart w:name="_Toc34" w:id="34"/>
      <w:r>
        <w:rPr>
          <w:rFonts w:ascii="Cambria" w:cs="Cambria" w:eastAsia="Cambria" w:hAnsi="Cambria"/>
          <w:b/>
          <w:bCs/>
          <w:color w:val="6B1E2E"/>
          <w:sz w:val="26"/>
          <w:szCs w:val="26"/>
        </w:rPr>
        <w:t xml:space="preserve">10.1 Registers</w:t>
      </w:r>
      <w:bookmarkEnd w:id="34"/>
    </w:p>
    <w:p>
      <w:pPr>
        <w:spacing w:after="120" w:line="276"/>
      </w:pPr>
      <w:r>
        <w:rPr>
          <w:rFonts w:ascii="Calibri" w:cs="Calibri" w:eastAsia="Calibri" w:hAnsi="Calibri"/>
          <w:color w:val="2A2A33"/>
          <w:sz w:val="22"/>
          <w:szCs w:val="22"/>
        </w:rPr>
        <w:t xml:space="preserve">The Scholar register shows a short list (registration number, name, department, batch, mode of study, guide, stage). Details opens everything else about the scholar. The batch cards filter the list. The Vice Chancellor sees the Scholar register and the Supervisor register read-only; the administrator and staff edit the details.</w:t>
      </w:r>
    </w:p>
    <w:p>
      <w:pPr>
        <w:pStyle w:val="Heading2"/>
        <w:spacing w:after="100" w:before="240"/>
      </w:pPr>
      <w:bookmarkStart w:name="_Toc35" w:id="35"/>
      <w:r>
        <w:rPr>
          <w:rFonts w:ascii="Cambria" w:cs="Cambria" w:eastAsia="Cambria" w:hAnsi="Cambria"/>
          <w:b/>
          <w:bCs/>
          <w:color w:val="6B1E2E"/>
          <w:sz w:val="26"/>
          <w:szCs w:val="26"/>
        </w:rPr>
        <w:t xml:space="preserve">10.2 Exports</w:t>
      </w:r>
      <w:bookmarkEnd w:id="35"/>
    </w:p>
    <w:p>
      <w:pPr>
        <w:pStyle w:val="ListParagraph"/>
        <w:numPr>
          <w:ilvl w:val="0"/>
          <w:numId w:val="2"/>
        </w:numPr>
        <w:spacing w:after="60" w:line="264"/>
      </w:pPr>
      <w:r>
        <w:rPr>
          <w:rFonts w:ascii="Calibri" w:cs="Calibri" w:eastAsia="Calibri" w:hAnsi="Calibri"/>
          <w:color w:val="2A2A33"/>
          <w:sz w:val="22"/>
          <w:szCs w:val="22"/>
        </w:rPr>
        <w:t xml:space="preserve">Every list has Export Excel and Export PDF. Excel files have a bold shaded heading row, a frozen heading and sized columns.</w:t>
      </w:r>
    </w:p>
    <w:p>
      <w:pPr>
        <w:pStyle w:val="ListParagraph"/>
        <w:numPr>
          <w:ilvl w:val="0"/>
          <w:numId w:val="2"/>
        </w:numPr>
        <w:spacing w:after="60" w:line="264"/>
      </w:pPr>
      <w:r>
        <w:rPr>
          <w:rFonts w:ascii="Calibri" w:cs="Calibri" w:eastAsia="Calibri" w:hAnsi="Calibri"/>
          <w:color w:val="2A2A33"/>
          <w:sz w:val="22"/>
          <w:szCs w:val="22"/>
        </w:rPr>
        <w:t xml:space="preserve">On the Scholar register, Information to export chooses what the files carry. Every item that has a short list of values is also a filter, so what can be exported can be filtered.</w:t>
      </w:r>
    </w:p>
    <w:p>
      <w:pPr>
        <w:pStyle w:val="ListParagraph"/>
        <w:numPr>
          <w:ilvl w:val="0"/>
          <w:numId w:val="2"/>
        </w:numPr>
        <w:spacing w:after="60" w:line="264"/>
      </w:pPr>
      <w:r>
        <w:rPr>
          <w:rFonts w:ascii="Calibri" w:cs="Calibri" w:eastAsia="Calibri" w:hAnsi="Calibri"/>
          <w:color w:val="2A2A33"/>
          <w:sz w:val="22"/>
          <w:szCs w:val="22"/>
        </w:rPr>
        <w:t xml:space="preserve">On other lists, a Columns button chooses the columns in the downloads.</w:t>
      </w:r>
    </w:p>
    <w:p>
      <w:pPr>
        <w:pStyle w:val="ListParagraph"/>
        <w:numPr>
          <w:ilvl w:val="0"/>
          <w:numId w:val="2"/>
        </w:numPr>
        <w:spacing w:after="60" w:line="264"/>
      </w:pPr>
      <w:r>
        <w:rPr>
          <w:rFonts w:ascii="Calibri" w:cs="Calibri" w:eastAsia="Calibri" w:hAnsi="Calibri"/>
          <w:color w:val="2A2A33"/>
          <w:sz w:val="22"/>
          <w:szCs w:val="22"/>
        </w:rPr>
        <w:t xml:space="preserve">Every table column can be sorted by clicking its heading.</w:t>
      </w:r>
    </w:p>
    <w:p>
      <w:pPr>
        <w:pStyle w:val="Heading2"/>
        <w:spacing w:after="100" w:before="240"/>
      </w:pPr>
      <w:bookmarkStart w:name="_Toc36" w:id="36"/>
      <w:r>
        <w:rPr>
          <w:rFonts w:ascii="Cambria" w:cs="Cambria" w:eastAsia="Cambria" w:hAnsi="Cambria"/>
          <w:b/>
          <w:bCs/>
          <w:color w:val="6B1E2E"/>
          <w:sz w:val="26"/>
          <w:szCs w:val="26"/>
        </w:rPr>
        <w:t xml:space="preserve">10.3 Order and appearance of printed lists</w:t>
      </w:r>
      <w:bookmarkEnd w:id="36"/>
    </w:p>
    <w:p>
      <w:pPr>
        <w:pStyle w:val="ListParagraph"/>
        <w:numPr>
          <w:ilvl w:val="0"/>
          <w:numId w:val="2"/>
        </w:numPr>
        <w:spacing w:after="60" w:line="264"/>
      </w:pPr>
      <w:r>
        <w:rPr>
          <w:rFonts w:ascii="Calibri" w:cs="Calibri" w:eastAsia="Calibri" w:hAnsi="Calibri"/>
          <w:color w:val="2A2A33"/>
          <w:sz w:val="22"/>
          <w:szCs w:val="22"/>
        </w:rPr>
        <w:t xml:space="preserve">Scholar lists are in registration-number order; scholars without a number follow, in application-number order.</w:t>
      </w:r>
    </w:p>
    <w:p>
      <w:pPr>
        <w:pStyle w:val="ListParagraph"/>
        <w:numPr>
          <w:ilvl w:val="0"/>
          <w:numId w:val="2"/>
        </w:numPr>
        <w:spacing w:after="60" w:line="264"/>
      </w:pPr>
      <w:r>
        <w:rPr>
          <w:rFonts w:ascii="Calibri" w:cs="Calibri" w:eastAsia="Calibri" w:hAnsi="Calibri"/>
          <w:color w:val="2A2A33"/>
          <w:sz w:val="22"/>
          <w:szCs w:val="22"/>
        </w:rPr>
        <w:t xml:space="preserve">Titles and column headings are centred; details such as batch, date, venue, filters and number of records are shown in separate boxes.</w:t>
      </w:r>
    </w:p>
    <w:p>
      <w:pPr>
        <w:pStyle w:val="ListParagraph"/>
        <w:numPr>
          <w:ilvl w:val="0"/>
          <w:numId w:val="2"/>
        </w:numPr>
        <w:spacing w:after="60" w:line="264"/>
      </w:pPr>
      <w:r>
        <w:rPr>
          <w:rFonts w:ascii="Calibri" w:cs="Calibri" w:eastAsia="Calibri" w:hAnsi="Calibri"/>
          <w:color w:val="2A2A33"/>
          <w:sz w:val="22"/>
          <w:szCs w:val="22"/>
        </w:rPr>
        <w:t xml:space="preserve">PDF tables are plain black and white, and every PDF fits A4 with header and footer. Wide tables print in column groups, each repeating the serial number and the name.</w:t>
      </w:r>
    </w:p>
    <w:p>
      <w:pPr>
        <w:pStyle w:val="Heading2"/>
        <w:spacing w:after="100" w:before="240"/>
      </w:pPr>
      <w:bookmarkStart w:name="_Toc37" w:id="37"/>
      <w:r>
        <w:rPr>
          <w:rFonts w:ascii="Cambria" w:cs="Cambria" w:eastAsia="Cambria" w:hAnsi="Cambria"/>
          <w:b/>
          <w:bCs/>
          <w:color w:val="6B1E2E"/>
          <w:sz w:val="26"/>
          <w:szCs w:val="26"/>
        </w:rPr>
        <w:t xml:space="preserve">10.4 Attendance</w:t>
      </w:r>
      <w:bookmarkEnd w:id="37"/>
    </w:p>
    <w:p>
      <w:pPr>
        <w:spacing w:after="120" w:line="276"/>
      </w:pPr>
      <w:r>
        <w:rPr>
          <w:rFonts w:ascii="Calibri" w:cs="Calibri" w:eastAsia="Calibri" w:hAnsi="Calibri"/>
          <w:color w:val="2A2A33"/>
          <w:sz w:val="22"/>
          <w:szCs w:val="22"/>
        </w:rPr>
        <w:t xml:space="preserve">Attendance is marked with the same Present and Absent buttons on every screen: the entrance step of Selection, the colloquium attendance and the Attendance sheets menu (batch-wise, with event name and date). All present and Clear all act on the list shown, and a running count is displayed. A colloquium sitting cannot be saved while anyone is left unmarked.</w:t>
      </w:r>
    </w:p>
    <w:p>
      <w:pPr>
        <w:pStyle w:val="Heading1"/>
        <w:pageBreakBefore/>
        <w:spacing w:after="200" w:before="0"/>
      </w:pPr>
      <w:bookmarkStart w:name="_Toc38" w:id="38"/>
      <w:r>
        <w:rPr>
          <w:rFonts w:ascii="Cambria" w:cs="Cambria" w:eastAsia="Cambria" w:hAnsi="Cambria"/>
          <w:b/>
          <w:bCs/>
          <w:color w:val="6B1E2E"/>
          <w:sz w:val="34"/>
          <w:szCs w:val="34"/>
        </w:rPr>
        <w:t xml:space="preserve">11. Public website and search visibility</w:t>
      </w:r>
      <w:bookmarkEnd w:id="38"/>
    </w:p>
    <w:p>
      <w:pPr>
        <w:spacing w:after="120" w:line="276"/>
      </w:pPr>
      <w:r>
        <w:rPr>
          <w:rFonts w:ascii="Calibri" w:cs="Calibri" w:eastAsia="Calibri" w:hAnsi="Calibri"/>
          <w:color w:val="2A2A33"/>
          <w:sz w:val="22"/>
          <w:szCs w:val="22"/>
        </w:rPr>
        <w:t xml:space="preserve">The public website is built so that candidates and supervisors can find the programme through search engines.</w:t>
      </w:r>
    </w:p>
    <w:p>
      <w:pPr>
        <w:pStyle w:val="ListParagraph"/>
        <w:numPr>
          <w:ilvl w:val="0"/>
          <w:numId w:val="2"/>
        </w:numPr>
        <w:spacing w:after="60" w:line="264"/>
      </w:pPr>
      <w:r>
        <w:rPr>
          <w:rFonts w:ascii="Calibri" w:cs="Calibri" w:eastAsia="Calibri" w:hAnsi="Calibri"/>
          <w:b/>
          <w:bCs/>
          <w:color w:val="2A2A33"/>
          <w:sz w:val="22"/>
          <w:szCs w:val="22"/>
        </w:rPr>
        <w:t xml:space="preserve">Supervisors page. </w:t>
      </w:r>
      <w:r>
        <w:rPr>
          <w:rFonts w:ascii="Calibri" w:cs="Calibri" w:eastAsia="Calibri" w:hAnsi="Calibri"/>
          <w:color w:val="2A2A33"/>
          <w:sz w:val="22"/>
          <w:szCs w:val="22"/>
        </w:rPr>
        <w:t xml:space="preserve">Generated on the server from the published profiles, so search engines read every name, area of research and biography. Each supervisor also has a page of their own with a title, description and social-sharing tags, and the profile photographs have descriptive text. The page is refreshed within minutes of a change by the research office.</w:t>
      </w:r>
    </w:p>
    <w:p>
      <w:pPr>
        <w:pStyle w:val="ListParagraph"/>
        <w:numPr>
          <w:ilvl w:val="0"/>
          <w:numId w:val="2"/>
        </w:numPr>
        <w:spacing w:after="60" w:line="264"/>
      </w:pPr>
      <w:r>
        <w:rPr>
          <w:rFonts w:ascii="Calibri" w:cs="Calibri" w:eastAsia="Calibri" w:hAnsi="Calibri"/>
          <w:b/>
          <w:bCs/>
          <w:color w:val="2A2A33"/>
          <w:sz w:val="22"/>
          <w:szCs w:val="22"/>
        </w:rPr>
        <w:t xml:space="preserve">Structured data. </w:t>
      </w:r>
      <w:r>
        <w:rPr>
          <w:rFonts w:ascii="Calibri" w:cs="Calibri" w:eastAsia="Calibri" w:hAnsi="Calibri"/>
          <w:color w:val="2A2A33"/>
          <w:sz w:val="22"/>
          <w:szCs w:val="22"/>
        </w:rPr>
        <w:t xml:space="preserve">The university and website are described on every page; supervisors are described as people with designation, department, areas of research and Vidwan link, and each page carries breadcrumbs.</w:t>
      </w:r>
    </w:p>
    <w:p>
      <w:pPr>
        <w:pStyle w:val="ListParagraph"/>
        <w:numPr>
          <w:ilvl w:val="0"/>
          <w:numId w:val="2"/>
        </w:numPr>
        <w:spacing w:after="60" w:line="264"/>
      </w:pPr>
      <w:r>
        <w:rPr>
          <w:rFonts w:ascii="Calibri" w:cs="Calibri" w:eastAsia="Calibri" w:hAnsi="Calibri"/>
          <w:b/>
          <w:bCs/>
          <w:color w:val="2A2A33"/>
          <w:sz w:val="22"/>
          <w:szCs w:val="22"/>
        </w:rPr>
        <w:t xml:space="preserve">Sitemap and robots. </w:t>
      </w:r>
      <w:r>
        <w:rPr>
          <w:rFonts w:ascii="Calibri" w:cs="Calibri" w:eastAsia="Calibri" w:hAnsi="Calibri"/>
          <w:color w:val="2A2A33"/>
          <w:sz w:val="22"/>
          <w:szCs w:val="22"/>
        </w:rPr>
        <w:t xml:space="preserve">The sitemap lists the public pages and every published supervisor. Portals, sign-in pages and the programming interface are kept out of search results.</w:t>
      </w:r>
    </w:p>
    <w:p>
      <w:pPr>
        <w:pStyle w:val="ListParagraph"/>
        <w:numPr>
          <w:ilvl w:val="0"/>
          <w:numId w:val="2"/>
        </w:numPr>
        <w:spacing w:after="60" w:line="264"/>
      </w:pPr>
      <w:r>
        <w:rPr>
          <w:rFonts w:ascii="Calibri" w:cs="Calibri" w:eastAsia="Calibri" w:hAnsi="Calibri"/>
          <w:b/>
          <w:bCs/>
          <w:color w:val="2A2A33"/>
          <w:sz w:val="22"/>
          <w:szCs w:val="22"/>
        </w:rPr>
        <w:t xml:space="preserve">Privacy. </w:t>
      </w:r>
      <w:r>
        <w:rPr>
          <w:rFonts w:ascii="Calibri" w:cs="Calibri" w:eastAsia="Calibri" w:hAnsi="Calibri"/>
          <w:color w:val="2A2A33"/>
          <w:sz w:val="22"/>
          <w:szCs w:val="22"/>
        </w:rPr>
        <w:t xml:space="preserve">Only the public profile fields are published; a supervisor's sign-in e-mail is never shown.</w:t>
      </w:r>
    </w:p>
    <w:p>
      <w:pPr>
        <w:pStyle w:val="Heading1"/>
        <w:pageBreakBefore/>
        <w:spacing w:after="200" w:before="0"/>
      </w:pPr>
      <w:bookmarkStart w:name="_Toc39" w:id="39"/>
      <w:r>
        <w:rPr>
          <w:rFonts w:ascii="Cambria" w:cs="Cambria" w:eastAsia="Cambria" w:hAnsi="Cambria"/>
          <w:b/>
          <w:bCs/>
          <w:color w:val="6B1E2E"/>
          <w:sz w:val="34"/>
          <w:szCs w:val="34"/>
        </w:rPr>
        <w:t xml:space="preserve">12. Notifications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Event</w:t>
            </w:r>
          </w:p>
        </w:tc>
        <w:tc>
          <w:tcPr>
            <w:tcW w:type="dxa" w:w="54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E-mail sent</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Ph.D. application submitted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Acknowledgement with application number</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Hall tickets generated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Ask the candidate to download the hall ticket</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Selected and letter issued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Download the provisional letter and complete the formalities</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Scholar ERP access opened, or password re-issued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Username and temporary password</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Supervisor application submitted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Acknowledgement</w:t>
            </w:r>
          </w:p>
        </w:tc>
      </w:tr>
      <w:tr>
        <w:trPr>
          <w:cantSplit/>
        </w:trPr>
        <w:tc>
          <w:tcPr>
            <w:tcW w:type="dxa" w:w="42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Supervisor recognition approved</w:t>
            </w:r>
          </w:p>
        </w:tc>
        <w:tc>
          <w:tcPr>
            <w:tcW w:type="dxa" w:w="54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Recognition letter available; login details</w:t>
            </w:r>
          </w:p>
        </w:tc>
      </w:tr>
    </w:tbl>
    <w:p>
      <w:pPr>
        <w:spacing w:after="120"/>
      </w:pPr>
    </w:p>
    <w:p>
      <w:pPr>
        <w:spacing w:after="120" w:line="276"/>
      </w:pPr>
      <w:r>
        <w:rPr>
          <w:rFonts w:ascii="Calibri" w:cs="Calibri" w:eastAsia="Calibri" w:hAnsi="Calibri"/>
          <w:color w:val="2A2A33"/>
          <w:sz w:val="22"/>
          <w:szCs w:val="22"/>
        </w:rPr>
        <w:t xml:space="preserve">Recipients are always read from the stored record, never from the request. The ERP also shows in-portal notifications to supervisors and the office when something waits for them. The choice of the mail provider is still to be finalised.</w:t>
      </w:r>
    </w:p>
    <w:p>
      <w:pPr>
        <w:pStyle w:val="Heading1"/>
        <w:pageBreakBefore/>
        <w:spacing w:after="200" w:before="0"/>
      </w:pPr>
      <w:bookmarkStart w:name="_Toc40" w:id="40"/>
      <w:r>
        <w:rPr>
          <w:rFonts w:ascii="Cambria" w:cs="Cambria" w:eastAsia="Cambria" w:hAnsi="Cambria"/>
          <w:b/>
          <w:bCs/>
          <w:color w:val="6B1E2E"/>
          <w:sz w:val="34"/>
          <w:szCs w:val="34"/>
        </w:rPr>
        <w:t xml:space="preserve">13. Data, security and storage</w:t>
      </w:r>
      <w:bookmarkEnd w:id="40"/>
    </w:p>
    <w:p>
      <w:pPr>
        <w:pStyle w:val="ListParagraph"/>
        <w:numPr>
          <w:ilvl w:val="0"/>
          <w:numId w:val="2"/>
        </w:numPr>
        <w:spacing w:after="60" w:line="264"/>
      </w:pPr>
      <w:r>
        <w:rPr>
          <w:rFonts w:ascii="Calibri" w:cs="Calibri" w:eastAsia="Calibri" w:hAnsi="Calibri"/>
          <w:b/>
          <w:bCs/>
          <w:color w:val="2A2A33"/>
          <w:sz w:val="22"/>
          <w:szCs w:val="22"/>
        </w:rPr>
        <w:t xml:space="preserve">Database. </w:t>
      </w:r>
      <w:r>
        <w:rPr>
          <w:rFonts w:ascii="Calibri" w:cs="Calibri" w:eastAsia="Calibri" w:hAnsi="Calibri"/>
          <w:color w:val="2A2A33"/>
          <w:sz w:val="22"/>
          <w:szCs w:val="22"/>
        </w:rPr>
        <w:t xml:space="preserve">Text and records are kept in the Supabase database.</w:t>
      </w:r>
    </w:p>
    <w:p>
      <w:pPr>
        <w:pStyle w:val="ListParagraph"/>
        <w:numPr>
          <w:ilvl w:val="0"/>
          <w:numId w:val="2"/>
        </w:numPr>
        <w:spacing w:after="60" w:line="264"/>
      </w:pPr>
      <w:r>
        <w:rPr>
          <w:rFonts w:ascii="Calibri" w:cs="Calibri" w:eastAsia="Calibri" w:hAnsi="Calibri"/>
          <w:b/>
          <w:bCs/>
          <w:color w:val="2A2A33"/>
          <w:sz w:val="22"/>
          <w:szCs w:val="22"/>
        </w:rPr>
        <w:t xml:space="preserve">Files. </w:t>
      </w:r>
      <w:r>
        <w:rPr>
          <w:rFonts w:ascii="Calibri" w:cs="Calibri" w:eastAsia="Calibri" w:hAnsi="Calibri"/>
          <w:color w:val="2A2A33"/>
          <w:sz w:val="22"/>
          <w:szCs w:val="22"/>
        </w:rPr>
        <w:t xml:space="preserve">Uploaded documents, receipts, synopsis and thesis files and admission documents are kept in a private storage bucket. A file may be PDF, JPG or PNG and up to 2 MB, and its type is checked on the server. A reference opens only after sign-in and redirects to a link that works for two minutes. Nothing in the private bucket is public.</w:t>
      </w:r>
    </w:p>
    <w:p>
      <w:pPr>
        <w:pStyle w:val="ListParagraph"/>
        <w:numPr>
          <w:ilvl w:val="0"/>
          <w:numId w:val="2"/>
        </w:numPr>
        <w:spacing w:after="60" w:line="264"/>
      </w:pPr>
      <w:r>
        <w:rPr>
          <w:rFonts w:ascii="Calibri" w:cs="Calibri" w:eastAsia="Calibri" w:hAnsi="Calibri"/>
          <w:b/>
          <w:bCs/>
          <w:color w:val="2A2A33"/>
          <w:sz w:val="22"/>
          <w:szCs w:val="22"/>
        </w:rPr>
        <w:t xml:space="preserve">Backups. </w:t>
      </w:r>
      <w:r>
        <w:rPr>
          <w:rFonts w:ascii="Calibri" w:cs="Calibri" w:eastAsia="Calibri" w:hAnsi="Calibri"/>
          <w:color w:val="2A2A33"/>
          <w:sz w:val="22"/>
          <w:szCs w:val="22"/>
        </w:rPr>
        <w:t xml:space="preserve">One command saves every ERP table to a dated folder; another restores a saved copy if a change must be undone.</w:t>
      </w:r>
    </w:p>
    <w:p>
      <w:pPr>
        <w:pStyle w:val="ListParagraph"/>
        <w:numPr>
          <w:ilvl w:val="0"/>
          <w:numId w:val="2"/>
        </w:numPr>
        <w:spacing w:after="60" w:line="264"/>
      </w:pPr>
      <w:r>
        <w:rPr>
          <w:rFonts w:ascii="Calibri" w:cs="Calibri" w:eastAsia="Calibri" w:hAnsi="Calibri"/>
          <w:b/>
          <w:bCs/>
          <w:color w:val="2A2A33"/>
          <w:sz w:val="22"/>
          <w:szCs w:val="22"/>
        </w:rPr>
        <w:t xml:space="preserve">Access. </w:t>
      </w:r>
      <w:r>
        <w:rPr>
          <w:rFonts w:ascii="Calibri" w:cs="Calibri" w:eastAsia="Calibri" w:hAnsi="Calibri"/>
          <w:color w:val="2A2A33"/>
          <w:sz w:val="22"/>
          <w:szCs w:val="22"/>
        </w:rPr>
        <w:t xml:space="preserve">Each sign-in sees only its menus; staff and Dean rights are granted per sub-menu by the administrator.</w:t>
      </w:r>
    </w:p>
    <w:p>
      <w:pPr>
        <w:pStyle w:val="ListParagraph"/>
        <w:numPr>
          <w:ilvl w:val="0"/>
          <w:numId w:val="2"/>
        </w:numPr>
        <w:spacing w:after="60" w:line="264"/>
      </w:pPr>
      <w:r>
        <w:rPr>
          <w:rFonts w:ascii="Calibri" w:cs="Calibri" w:eastAsia="Calibri" w:hAnsi="Calibri"/>
          <w:b/>
          <w:bCs/>
          <w:color w:val="2A2A33"/>
          <w:sz w:val="22"/>
          <w:szCs w:val="22"/>
        </w:rPr>
        <w:t xml:space="preserve">Audit. </w:t>
      </w:r>
      <w:r>
        <w:rPr>
          <w:rFonts w:ascii="Calibri" w:cs="Calibri" w:eastAsia="Calibri" w:hAnsi="Calibri"/>
          <w:color w:val="2A2A33"/>
          <w:sz w:val="22"/>
          <w:szCs w:val="22"/>
        </w:rPr>
        <w:t xml:space="preserve">Approvals and rejections keep the name, date and time; registration numbers are logged when recorded.</w:t>
      </w:r>
    </w:p>
    <w:p>
      <w:pPr>
        <w:pStyle w:val="ListParagraph"/>
        <w:numPr>
          <w:ilvl w:val="0"/>
          <w:numId w:val="2"/>
        </w:numPr>
        <w:spacing w:after="60" w:line="264"/>
      </w:pPr>
      <w:r>
        <w:rPr>
          <w:rFonts w:ascii="Calibri" w:cs="Calibri" w:eastAsia="Calibri" w:hAnsi="Calibri"/>
          <w:b/>
          <w:bCs/>
          <w:color w:val="2A2A33"/>
          <w:sz w:val="22"/>
          <w:szCs w:val="22"/>
        </w:rPr>
        <w:t xml:space="preserve">First password. </w:t>
      </w:r>
      <w:r>
        <w:rPr>
          <w:rFonts w:ascii="Calibri" w:cs="Calibri" w:eastAsia="Calibri" w:hAnsi="Calibri"/>
          <w:color w:val="2A2A33"/>
          <w:sz w:val="22"/>
          <w:szCs w:val="22"/>
        </w:rPr>
        <w:t xml:space="preserve">A newly admitted scholar receives a first password by mail and must set a new one at the first sign-in; the office can re-issue it.</w:t>
      </w:r>
    </w:p>
    <w:p>
      <w:pPr>
        <w:pStyle w:val="Heading1"/>
        <w:pageBreakBefore/>
        <w:spacing w:after="200" w:before="0"/>
      </w:pPr>
      <w:bookmarkStart w:name="_Toc41" w:id="41"/>
      <w:r>
        <w:rPr>
          <w:rFonts w:ascii="Cambria" w:cs="Cambria" w:eastAsia="Cambria" w:hAnsi="Cambria"/>
          <w:b/>
          <w:bCs/>
          <w:color w:val="6B1E2E"/>
          <w:sz w:val="34"/>
          <w:szCs w:val="34"/>
        </w:rPr>
        <w:t xml:space="preserve">14. Pending items and way forward</w:t>
      </w:r>
      <w:bookmarkEnd w:id="41"/>
    </w:p>
    <w:p>
      <w:pPr>
        <w:pStyle w:val="ListParagraph"/>
        <w:numPr>
          <w:ilvl w:val="0"/>
          <w:numId w:val="3"/>
        </w:numPr>
        <w:spacing w:after="80" w:line="264"/>
      </w:pPr>
      <w:r>
        <w:rPr>
          <w:rFonts w:ascii="Calibri" w:cs="Calibri" w:eastAsia="Calibri" w:hAnsi="Calibri"/>
          <w:color w:val="2A2A33"/>
          <w:sz w:val="22"/>
          <w:szCs w:val="22"/>
        </w:rPr>
        <w:t xml:space="preserve">School and department codes, so that the registration number format can be completed with the COE.</w:t>
      </w:r>
    </w:p>
    <w:p>
      <w:pPr>
        <w:pStyle w:val="ListParagraph"/>
        <w:numPr>
          <w:ilvl w:val="0"/>
          <w:numId w:val="3"/>
        </w:numPr>
        <w:spacing w:after="80" w:line="264"/>
      </w:pPr>
      <w:r>
        <w:rPr>
          <w:rFonts w:ascii="Calibri" w:cs="Calibri" w:eastAsia="Calibri" w:hAnsi="Calibri"/>
          <w:color w:val="2A2A33"/>
          <w:sz w:val="22"/>
          <w:szCs w:val="22"/>
        </w:rPr>
        <w:t xml:space="preserve">Choice of the e-mail service for notifications.</w:t>
      </w:r>
    </w:p>
    <w:p>
      <w:pPr>
        <w:pStyle w:val="ListParagraph"/>
        <w:numPr>
          <w:ilvl w:val="0"/>
          <w:numId w:val="3"/>
        </w:numPr>
        <w:spacing w:after="80" w:line="264"/>
      </w:pPr>
      <w:r>
        <w:rPr>
          <w:rFonts w:ascii="Calibri" w:cs="Calibri" w:eastAsia="Calibri" w:hAnsi="Calibri"/>
          <w:color w:val="2A2A33"/>
          <w:sz w:val="22"/>
          <w:szCs w:val="22"/>
        </w:rPr>
        <w:t xml:space="preserve">User acceptance testing by the Dean, Accounts, the COE sign-ins and supervisors on their own screens.</w:t>
      </w:r>
    </w:p>
    <w:p>
      <w:pPr>
        <w:pStyle w:val="ListParagraph"/>
        <w:numPr>
          <w:ilvl w:val="0"/>
          <w:numId w:val="3"/>
        </w:numPr>
        <w:spacing w:after="80" w:line="264"/>
      </w:pPr>
      <w:r>
        <w:rPr>
          <w:rFonts w:ascii="Calibri" w:cs="Calibri" w:eastAsia="Calibri" w:hAnsi="Calibri"/>
          <w:color w:val="2A2A33"/>
          <w:sz w:val="22"/>
          <w:szCs w:val="22"/>
        </w:rPr>
        <w:t xml:space="preserve">Production deployment, creation of user accounts and short training for each role.</w:t>
      </w:r>
    </w:p>
    <w:p>
      <w:pPr>
        <w:pStyle w:val="Heading2"/>
        <w:spacing w:after="100" w:before="240"/>
      </w:pPr>
      <w:bookmarkStart w:name="_Toc42" w:id="42"/>
      <w:r>
        <w:rPr>
          <w:rFonts w:ascii="Cambria" w:cs="Cambria" w:eastAsia="Cambria" w:hAnsi="Cambria"/>
          <w:b/>
          <w:bCs/>
          <w:color w:val="6B1E2E"/>
          <w:sz w:val="26"/>
          <w:szCs w:val="26"/>
        </w:rPr>
        <w:t xml:space="preserve">Glossary</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Term</w:t>
            </w:r>
          </w:p>
        </w:tc>
        <w:tc>
          <w:tcPr>
            <w:tcW w:type="dxa" w:w="7638"/>
            <w:tcBorders>
              <w:top w:val="single" w:color="D9CDD1" w:sz="4"/>
              <w:left w:val="single" w:color="D9CDD1" w:sz="4"/>
              <w:bottom w:val="single" w:color="D9CDD1" w:sz="4"/>
              <w:right w:val="single" w:color="D9CDD1" w:sz="4"/>
            </w:tcBorders>
            <w:shd w:fill="6B1E2E"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Meaning</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RAB</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Research Advisory Board</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RAC</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Research Advisory Committee of a scholar</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DC</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Doctoral committee</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COE</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Controller of Examinations</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RA</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Re-appear: the paper must be written again</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AAA</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Absent for the examination</w:t>
            </w:r>
          </w:p>
        </w:tc>
      </w:tr>
      <w:tr>
        <w:trPr>
          <w:cantSplit/>
        </w:trPr>
        <w:tc>
          <w:tcPr>
            <w:tcW w:type="dxa" w:w="2000"/>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Vidwan ID</w:t>
            </w:r>
          </w:p>
        </w:tc>
        <w:tc>
          <w:tcPr>
            <w:tcW w:type="dxa" w:w="7638"/>
            <w:tcBorders>
              <w:top w:val="single" w:color="D9CDD1" w:sz="4"/>
              <w:left w:val="single" w:color="D9CDD1" w:sz="4"/>
              <w:bottom w:val="single" w:color="D9CDD1" w:sz="4"/>
              <w:right w:val="single" w:color="D9CDD1" w:sz="4"/>
            </w:tcBorders>
            <w:tcMar>
              <w:top w:type="dxa" w:w="70"/>
              <w:left w:type="dxa" w:w="110"/>
              <w:bottom w:type="dxa" w:w="70"/>
              <w:right w:type="dxa" w:w="110"/>
            </w:tcMar>
          </w:tcPr>
          <w:p>
            <w:pPr>
              <w:spacing w:after="0"/>
            </w:pPr>
            <w:r>
              <w:rPr>
                <w:rFonts w:ascii="Calibri" w:cs="Calibri" w:eastAsia="Calibri" w:hAnsi="Calibri"/>
                <w:b w:val="false"/>
                <w:bCs w:val="false"/>
                <w:color w:val="2A2A33"/>
                <w:sz w:val="20"/>
                <w:szCs w:val="20"/>
              </w:rPr>
              <w:t xml:space="preserve">Researcher profile on the national Vidwan database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A75"/>
        <w:sz w:val="18"/>
        <w:szCs w:val="18"/>
      </w:rPr>
      <w:t xml:space="preserve">Page </w:t>
    </w:r>
    <w:r>
      <w:rPr>
        <w:rFonts w:ascii="Calibri" w:cs="Calibri" w:eastAsia="Calibri" w:hAnsi="Calibri"/>
        <w:color w:val="6A6A75"/>
        <w:sz w:val="18"/>
        <w:szCs w:val="18"/>
      </w:rPr>
      <w:fldChar w:fldCharType="begin"/>
    </w:r>
    <w:r>
      <w:rPr>
        <w:rFonts w:ascii="Calibri" w:cs="Calibri" w:eastAsia="Calibri" w:hAnsi="Calibri"/>
        <w:color w:val="6A6A75"/>
        <w:sz w:val="18"/>
        <w:szCs w:val="18"/>
      </w:rPr>
      <w:instrText xml:space="preserve">PAGE</w:instrText>
    </w:r>
    <w:r>
      <w:rPr>
        <w:rFonts w:ascii="Calibri" w:cs="Calibri" w:eastAsia="Calibri" w:hAnsi="Calibri"/>
        <w:color w:val="6A6A75"/>
        <w:sz w:val="18"/>
        <w:szCs w:val="18"/>
      </w:rPr>
      <w:fldChar w:fldCharType="separate"/>
    </w:r>
    <w:r>
      <w:rPr>
        <w:rFonts w:ascii="Calibri" w:cs="Calibri" w:eastAsia="Calibri" w:hAnsi="Calibri"/>
        <w:color w:val="6A6A7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6A75"/>
        <w:sz w:val="18"/>
        <w:szCs w:val="18"/>
      </w:rPr>
      <w:t xml:space="preserve">Research ERP: workflows and how the system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Cambria" w:cs="Cambria" w:eastAsia="Cambria" w:hAnsi="Cambria"/>
      <w:b/>
      <w:bCs/>
      <w:color w:val="6B1E2E"/>
      <w:sz w:val="34"/>
      <w:szCs w:val="34"/>
    </w:rPr>
  </w:style>
  <w:style w:type="paragraph" w:styleId="Heading2">
    <w:name w:val="Heading 2"/>
    <w:basedOn w:val="Normal"/>
    <w:next w:val="Normal"/>
    <w:qFormat/>
    <w:pPr>
      <w:spacing w:after="100" w:before="240"/>
      <w:outlineLvl w:val="1"/>
    </w:pPr>
    <w:rPr>
      <w:rFonts w:ascii="Cambria" w:cs="Cambria" w:eastAsia="Cambria" w:hAnsi="Cambria"/>
      <w:b/>
      <w:bCs/>
      <w:color w:val="6B1E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ERP - Workflows and how the system works</dc:title>
  <dc:creator>Research Office</dc:creator>
  <cp:lastModifiedBy>Un-named</cp:lastModifiedBy>
  <cp:revision>1</cp:revision>
  <dcterms:created xsi:type="dcterms:W3CDTF">2026-10-24T17:50:59.602Z</dcterms:created>
  <dcterms:modified xsi:type="dcterms:W3CDTF">2026-10-24T17:50:59.603Z</dcterms:modified>
</cp:coreProperties>
</file>

<file path=docProps/custom.xml><?xml version="1.0" encoding="utf-8"?>
<Properties xmlns="http://schemas.openxmlformats.org/officeDocument/2006/custom-properties" xmlns:vt="http://schemas.openxmlformats.org/officeDocument/2006/docPropsVTypes"/>
</file>