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Abstract Summary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</w:rPr>
        <w:t>Project</w:t>
      </w:r>
      <w:r>
        <w:rPr>
          <w:rFonts w:cs="Arial" w:ascii="Arial" w:hAnsi="Arial"/>
        </w:rPr>
        <w:t>:</w:t>
        <w:tab/>
      </w:r>
      <w:r>
        <w:rPr>
          <w:rFonts w:cs="Arial" w:ascii="Arial" w:hAnsi="Arial"/>
        </w:rPr>
        <w:t>Big Data Processing</w:t>
      </w:r>
    </w:p>
    <w:p>
      <w:pPr>
        <w:pStyle w:val="Normal"/>
        <w:rPr/>
      </w:pPr>
      <w:r>
        <w:rPr>
          <w:rFonts w:cs="Arial" w:ascii="Arial" w:hAnsi="Arial"/>
          <w:b/>
        </w:rPr>
        <w:t>Scholar</w:t>
      </w:r>
      <w:r>
        <w:rPr>
          <w:rFonts w:cs="Arial" w:ascii="Arial" w:hAnsi="Arial"/>
        </w:rPr>
        <w:t>:</w:t>
        <w:tab/>
      </w:r>
      <w:r>
        <w:rPr>
          <w:rFonts w:cs="Arial" w:ascii="Arial" w:hAnsi="Arial"/>
        </w:rPr>
        <w:t>Dean Robert Keithly</w:t>
      </w:r>
    </w:p>
    <w:p>
      <w:pPr>
        <w:pStyle w:val="Normal"/>
        <w:rPr/>
      </w:pPr>
      <w:r>
        <w:rPr>
          <w:rFonts w:cs="Arial" w:ascii="Arial" w:hAnsi="Arial"/>
          <w:b/>
        </w:rPr>
        <w:t>Mentor</w:t>
      </w:r>
      <w:r>
        <w:rPr>
          <w:rFonts w:cs="Arial" w:ascii="Arial" w:hAnsi="Arial"/>
        </w:rPr>
        <w:t>:</w:t>
        <w:tab/>
      </w:r>
      <w:r>
        <w:rPr>
          <w:rFonts w:cs="Arial" w:ascii="Arial" w:hAnsi="Arial"/>
        </w:rPr>
        <w:t>Robert Sivilli</w:t>
      </w:r>
    </w:p>
    <w:p>
      <w:pPr>
        <w:pStyle w:val="Normal"/>
        <w:ind w:left="1440" w:hanging="1440"/>
        <w:rPr/>
      </w:pPr>
      <w:r>
        <w:rPr>
          <w:rFonts w:cs="Arial" w:ascii="Arial" w:hAnsi="Arial"/>
          <w:b/>
        </w:rPr>
        <w:t>Program</w:t>
      </w:r>
      <w:r>
        <w:rPr>
          <w:rFonts w:cs="Arial" w:ascii="Arial" w:hAnsi="Arial"/>
        </w:rPr>
        <w:t>:</w:t>
        <w:tab/>
      </w:r>
      <w:r>
        <w:rPr>
          <w:rFonts w:cs="Arial" w:ascii="Arial" w:hAnsi="Arial"/>
        </w:rPr>
        <w:t>Space Scholars</w:t>
      </w:r>
    </w:p>
    <w:p>
      <w:pPr>
        <w:pStyle w:val="Normal"/>
        <w:rPr/>
      </w:pPr>
      <w:r>
        <w:rPr>
          <w:rFonts w:cs="Arial" w:ascii="Arial" w:hAnsi="Arial"/>
          <w:b/>
        </w:rPr>
        <w:t>School</w:t>
      </w:r>
      <w:r>
        <w:rPr>
          <w:rFonts w:cs="Arial" w:ascii="Arial" w:hAnsi="Arial"/>
        </w:rPr>
        <w:t>:</w:t>
        <w:tab/>
      </w:r>
      <w:r>
        <w:rPr>
          <w:rFonts w:cs="Arial" w:ascii="Arial" w:hAnsi="Arial"/>
        </w:rPr>
        <w:t>Cornell University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The goal of this work is to constrain a space object’s orbit and estimate </w:t>
      </w:r>
      <w:r>
        <w:rPr>
          <w:rFonts w:cs="Arial" w:ascii="Arial" w:hAnsi="Arial"/>
        </w:rPr>
        <w:t>object</w:t>
      </w:r>
      <w:r>
        <w:rPr>
          <w:rFonts w:cs="Arial" w:ascii="Arial" w:hAnsi="Arial"/>
        </w:rPr>
        <w:t xml:space="preserve"> size with as few high uncertainty ground observations as possible.</w:t>
      </w:r>
    </w:p>
    <w:p>
      <w:pPr>
        <w:pStyle w:val="Normal"/>
        <w:rPr/>
      </w:pPr>
      <w:r>
        <w:rPr>
          <w:rFonts w:cs="Arial" w:ascii="Arial" w:hAnsi="Arial"/>
        </w:rPr>
        <w:t xml:space="preserve">I use a collection of two-line elements and state vectors  </w:t>
      </w:r>
      <w:r>
        <w:rPr>
          <w:rFonts w:cs="Arial" w:ascii="Arial" w:hAnsi="Arial"/>
        </w:rPr>
        <w:t xml:space="preserve">from the Unified Data Library </w:t>
      </w:r>
      <w:r>
        <w:rPr>
          <w:rFonts w:cs="Arial" w:ascii="Arial" w:hAnsi="Arial"/>
        </w:rPr>
        <w:t>to aggregate probability distributions of Keplerian orbital elements and object characteristics.</w:t>
      </w:r>
    </w:p>
    <w:p>
      <w:pPr>
        <w:pStyle w:val="Normal"/>
        <w:rPr/>
      </w:pPr>
      <w:r>
        <w:rPr>
          <w:rFonts w:cs="Arial" w:ascii="Arial" w:hAnsi="Arial"/>
        </w:rPr>
        <w:t xml:space="preserve">With a single ground observation of an unknown object </w:t>
      </w:r>
      <w:r>
        <w:rPr>
          <w:rFonts w:cs="Arial" w:ascii="Arial" w:hAnsi="Arial"/>
        </w:rPr>
        <w:t>and orbit location constraints</w:t>
      </w:r>
      <w:r>
        <w:rPr>
          <w:rFonts w:cs="Arial" w:ascii="Arial" w:hAnsi="Arial"/>
        </w:rPr>
        <w:t>, I constrain the solution space of orbital element and object characteristics to arrive at object parameter posterior distributions.</w:t>
      </w:r>
    </w:p>
    <w:p>
      <w:pPr>
        <w:pStyle w:val="Normal"/>
        <w:rPr/>
      </w:pPr>
      <w:r>
        <w:rPr>
          <w:rFonts w:cs="Arial" w:ascii="Arial" w:hAnsi="Arial"/>
        </w:rPr>
        <w:t xml:space="preserve">Based on the location of the first observing ground station </w:t>
      </w:r>
      <w:r>
        <w:rPr>
          <w:rFonts w:cs="Arial" w:ascii="Arial" w:hAnsi="Arial"/>
        </w:rPr>
        <w:t>(simulated from the Unified Data Library)</w:t>
      </w:r>
      <w:r>
        <w:rPr>
          <w:rFonts w:cs="Arial" w:ascii="Arial" w:hAnsi="Arial"/>
        </w:rPr>
        <w:t xml:space="preserve"> and statistical orbital parameters, I determine which set of ground station fields of regard </w:t>
      </w:r>
      <w:r>
        <w:rPr>
          <w:rFonts w:cs="Arial" w:ascii="Arial" w:hAnsi="Arial"/>
        </w:rPr>
        <w:t>(FoR)</w:t>
      </w:r>
      <w:r>
        <w:rPr>
          <w:rFonts w:cs="Arial" w:ascii="Arial" w:hAnsi="Arial"/>
        </w:rPr>
        <w:t xml:space="preserve"> the object will enter </w:t>
      </w:r>
      <w:r>
        <w:rPr>
          <w:rFonts w:cs="Arial" w:ascii="Arial" w:hAnsi="Arial"/>
        </w:rPr>
        <w:t>next</w:t>
      </w:r>
      <w:r>
        <w:rPr>
          <w:rFonts w:cs="Arial" w:ascii="Arial" w:hAnsi="Arial"/>
        </w:rPr>
        <w:t xml:space="preserve">, when it will enter </w:t>
      </w:r>
      <w:r>
        <w:rPr>
          <w:rFonts w:cs="Arial" w:ascii="Arial" w:hAnsi="Arial"/>
        </w:rPr>
        <w:t>the FoR</w:t>
      </w:r>
      <w:r>
        <w:rPr>
          <w:rFonts w:cs="Arial" w:ascii="Arial" w:hAnsi="Arial"/>
        </w:rPr>
        <w:t xml:space="preserve">, and where it could be observed </w:t>
      </w:r>
      <w:r>
        <w:rPr>
          <w:rFonts w:cs="Arial" w:ascii="Arial" w:hAnsi="Arial"/>
        </w:rPr>
        <w:t>in the FoR</w:t>
      </w:r>
      <w:r>
        <w:rPr>
          <w:rFonts w:cs="Arial" w:ascii="Arial" w:hAnsi="Arial"/>
        </w:rPr>
        <w:t>.</w:t>
      </w:r>
    </w:p>
    <w:p>
      <w:pPr>
        <w:pStyle w:val="Normal"/>
        <w:rPr/>
      </w:pPr>
      <w:r>
        <w:rPr>
          <w:rFonts w:cs="Arial" w:ascii="Arial" w:hAnsi="Arial"/>
        </w:rPr>
        <w:t xml:space="preserve">By repeatedly simulating second observations based on the highest probability locations, we can determine the number of observations to </w:t>
      </w:r>
      <w:r>
        <w:rPr>
          <w:rFonts w:cs="Arial" w:ascii="Arial" w:hAnsi="Arial"/>
        </w:rPr>
        <w:t>make a second detection of the object</w:t>
      </w:r>
      <w:r>
        <w:rPr>
          <w:rFonts w:cs="Arial" w:ascii="Arial" w:hAnsi="Arial"/>
        </w:rPr>
        <w:t>.</w:t>
      </w:r>
    </w:p>
    <w:p>
      <w:pPr>
        <w:pStyle w:val="Normal"/>
        <w:rPr/>
      </w:pPr>
      <w:r>
        <w:rPr>
          <w:rFonts w:cs="Arial" w:ascii="Arial" w:hAnsi="Arial"/>
        </w:rPr>
        <w:t>Executing this process in Monte Carlo can produce a distribution of the average number of observations.</w:t>
      </w:r>
    </w:p>
    <w:p>
      <w:pPr>
        <w:pStyle w:val="Normal"/>
        <w:rPr/>
      </w:pPr>
      <w:r>
        <w:rPr>
          <w:rFonts w:cs="Arial" w:ascii="Arial" w:hAnsi="Arial"/>
        </w:rPr>
        <w:t xml:space="preserve">Supplanting general population inputs with known state vectors and simulated deviations enables us to determine when and where ground stations could statistically make future object detections.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-3600" w:leader="none"/>
      </w:tabs>
      <w:rPr>
        <w:rFonts w:cs="Calibri"/>
        <w:b/>
        <w:b/>
        <w:sz w:val="20"/>
        <w:szCs w:val="20"/>
      </w:rPr>
    </w:pPr>
    <w:r>
      <mc:AlternateContent>
        <mc:Choice Requires="wpg">
          <w:drawing>
            <wp:anchor behindDoc="1" distT="0" distB="0" distL="114300" distR="113665" simplePos="0" locked="0" layoutInCell="1" allowOverlap="1" relativeHeight="2" wp14:anchorId="0EBE1829">
              <wp:simplePos x="0" y="0"/>
              <wp:positionH relativeFrom="margin">
                <wp:align>right</wp:align>
              </wp:positionH>
              <wp:positionV relativeFrom="paragraph">
                <wp:posOffset>-218440</wp:posOffset>
              </wp:positionV>
              <wp:extent cx="2296160" cy="534035"/>
              <wp:effectExtent l="0" t="0" r="9525" b="0"/>
              <wp:wrapTight wrapText="bothSides">
                <wp:wrapPolygon edited="0">
                  <wp:start x="1972" y="0"/>
                  <wp:lineTo x="0" y="6171"/>
                  <wp:lineTo x="0" y="14657"/>
                  <wp:lineTo x="1972" y="20829"/>
                  <wp:lineTo x="4481" y="20829"/>
                  <wp:lineTo x="21510" y="20829"/>
                  <wp:lineTo x="21510" y="771"/>
                  <wp:lineTo x="4481" y="0"/>
                  <wp:lineTo x="1972" y="0"/>
                </wp:wrapPolygon>
              </wp:wrapTight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95360" cy="533520"/>
                      </a:xfrm>
                    </wpg:grpSpPr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13880" cy="5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00280" y="28440"/>
                          <a:ext cx="1495440" cy="476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277.5pt;margin-top:-17.2pt;width:180.75pt;height:42pt" coordorigin="5550,-344" coordsize="3615,840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left:5550;top:-344;width:1123;height:839;mso-position-horizontal:right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  <v:shape id="shape_0" ID="Picture 4" stroked="f" style="position:absolute;left:6811;top:-299;width:2354;height:749;mso-position-horizontal:right;mso-position-horizontal-relative:margin" type="shapetype_75">
                <v:imagedata r:id="rId2" o:detectmouseclick="t"/>
                <w10:wrap type="none"/>
                <v:stroke color="#3465a4" joinstyle="round" endcap="flat"/>
              </v:shape>
            </v:group>
          </w:pict>
        </mc:Fallback>
      </mc:AlternateContent>
    </w:r>
    <w:r>
      <w:rPr>
        <w:rFonts w:cs="Calibri"/>
        <w:b/>
        <w:sz w:val="20"/>
        <w:szCs w:val="20"/>
      </w:rPr>
      <w:t>AFRL Scholars Program</w:t>
      <w:tab/>
      <w:tab/>
    </w:r>
  </w:p>
  <w:p>
    <w:pPr>
      <w:pStyle w:val="Header"/>
      <w:tabs>
        <w:tab w:val="center" w:pos="-3600" w:leader="none"/>
      </w:tabs>
      <w:rPr/>
    </w:pPr>
    <w:r>
      <w:rPr>
        <w:rFonts w:cs="Calibri"/>
        <w:b/>
        <w:sz w:val="20"/>
        <w:szCs w:val="20"/>
      </w:rPr>
      <w:t>14</w:t>
    </w:r>
    <w:r>
      <w:rPr>
        <w:rFonts w:cs="Calibri"/>
        <w:b/>
        <w:sz w:val="20"/>
        <w:szCs w:val="20"/>
      </w:rPr>
      <w:t xml:space="preserve"> </w:t>
    </w:r>
    <w:r>
      <w:rPr>
        <w:rFonts w:cs="Calibri"/>
        <w:b/>
        <w:sz w:val="20"/>
        <w:szCs w:val="20"/>
      </w:rPr>
      <w:t>June</w:t>
    </w:r>
    <w:r>
      <w:rPr>
        <w:rFonts w:cs="Calibri"/>
        <w:b/>
        <w:sz w:val="20"/>
        <w:szCs w:val="20"/>
      </w:rPr>
      <w:t xml:space="preserve"> </w:t>
    </w:r>
    <w:r>
      <w:rPr>
        <w:rFonts w:cs="Calibri"/>
        <w:b/>
        <w:sz w:val="20"/>
        <w:szCs w:val="20"/>
      </w:rPr>
      <w:t>2019</w:t>
    </w:r>
  </w:p>
  <w:p>
    <w:pPr>
      <w:pStyle w:val="Header"/>
      <w:rPr>
        <w:rFonts w:cs="Calibri"/>
        <w:color w:val="002060"/>
        <w:sz w:val="20"/>
        <w:szCs w:val="20"/>
      </w:rPr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5150c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251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034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b0348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b0348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37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37c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1bb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2519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b0348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b0348"/>
    <w:pPr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37c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37cc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226</Words>
  <Characters>1282</Characters>
  <CharactersWithSpaces>1497</CharactersWithSpaces>
  <Paragraphs>16</Paragraphs>
  <Company>U.S Air Force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2018-04-16T16:51:00Z</dcterms:created>
  <dc:creator>McCullough, Julie A CTR USAF AFMC AFRL/RDMX</dc:creator>
  <dc:description/>
  <dc:language>en-US</dc:language>
  <cp:lastModifiedBy/>
  <cp:lastPrinted>2014-11-06T20:10:00Z</cp:lastPrinted>
  <dcterms:modified xsi:type="dcterms:W3CDTF">2019-06-14T17:08:06Z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U.S Air Force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