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Вопрос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Ответ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Можно ли создать мероприятие по информатизации без электронного паспорта объекта учёта?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Без электронного паспорта объекта учёта технически в системе ФГИС КИ невозможно создать мероприятие по информатизации.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Cs/>
              </w:rPr>
              <w:t xml:space="preserve">В соответствии с </w:t>
            </w:r>
            <w:r>
              <w:rPr>
                <w:rFonts w:cs="Times New Roman" w:ascii="Times New Roman" w:hAnsi="Times New Roman"/>
                <w:bCs/>
              </w:rPr>
              <w:t>п</w:t>
            </w:r>
            <w:r>
              <w:rPr>
                <w:rFonts w:cs="Times New Roman" w:ascii="Times New Roman" w:hAnsi="Times New Roman"/>
                <w:b w:val="false"/>
                <w:bCs/>
                <w:i w:val="false"/>
                <w:caps w:val="false"/>
                <w:smallCaps w:val="false"/>
                <w:color w:val="1B1B1B"/>
                <w:spacing w:val="0"/>
                <w:sz w:val="22"/>
                <w:szCs w:val="22"/>
              </w:rPr>
              <w:t>остановление</w:t>
            </w:r>
            <w:r>
              <w:rPr>
                <w:rFonts w:cs="Times New Roman" w:ascii="Times New Roman" w:hAnsi="Times New Roman"/>
                <w:b w:val="false"/>
                <w:bCs/>
                <w:i w:val="false"/>
                <w:caps w:val="false"/>
                <w:smallCaps w:val="false"/>
                <w:color w:val="1B1B1B"/>
                <w:spacing w:val="0"/>
                <w:sz w:val="22"/>
                <w:szCs w:val="22"/>
              </w:rPr>
              <w:t>м</w:t>
            </w:r>
            <w:r>
              <w:rPr>
                <w:rFonts w:cs="Times New Roman" w:ascii="Times New Roman" w:hAnsi="Times New Roman"/>
                <w:b w:val="false"/>
                <w:bCs/>
                <w:i w:val="false"/>
                <w:caps w:val="false"/>
                <w:smallCaps w:val="false"/>
                <w:color w:val="1B1B1B"/>
                <w:spacing w:val="0"/>
                <w:sz w:val="22"/>
                <w:szCs w:val="22"/>
              </w:rPr>
              <w:t xml:space="preserve"> Правительства Российской Федерации</w:t>
            </w:r>
            <w:r>
              <w:rPr>
                <w:rFonts w:cs="Times New Roman" w:ascii="Times New Roman" w:hAnsi="Times New Roman"/>
                <w:bCs/>
                <w:color w:val="1B1B1B"/>
                <w:sz w:val="22"/>
                <w:szCs w:val="22"/>
              </w:rPr>
              <w:br/>
            </w:r>
            <w:r>
              <w:rPr>
                <w:rFonts w:cs="Times New Roman" w:ascii="Times New Roman" w:hAnsi="Times New Roman"/>
                <w:b w:val="false"/>
                <w:bCs/>
                <w:i w:val="false"/>
                <w:caps w:val="false"/>
                <w:smallCaps w:val="false"/>
                <w:color w:val="1B1B1B"/>
                <w:spacing w:val="0"/>
                <w:sz w:val="22"/>
                <w:szCs w:val="22"/>
              </w:rPr>
              <w:t xml:space="preserve">от 24 мая 2010 г. </w:t>
            </w:r>
            <w:r>
              <w:rPr>
                <w:rFonts w:cs="Times New Roman" w:ascii="Times New Roman" w:hAnsi="Times New Roman"/>
                <w:bCs/>
                <w:caps w:val="false"/>
                <w:smallCaps w:val="false"/>
                <w:color w:val="1B1B1B"/>
                <w:spacing w:val="0"/>
                <w:sz w:val="22"/>
                <w:szCs w:val="22"/>
              </w:rPr>
              <w:t xml:space="preserve">№ </w:t>
            </w:r>
            <w:r>
              <w:rPr>
                <w:rFonts w:cs="Times New Roman" w:ascii="Times New Roman" w:hAnsi="Times New Roman"/>
                <w:b w:val="false"/>
                <w:bCs/>
                <w:i w:val="false"/>
                <w:caps w:val="false"/>
                <w:smallCaps w:val="false"/>
                <w:color w:val="1B1B1B"/>
                <w:spacing w:val="0"/>
                <w:sz w:val="22"/>
                <w:szCs w:val="22"/>
              </w:rPr>
              <w:t>365</w:t>
            </w:r>
            <w:r>
              <w:rPr>
                <w:rFonts w:cs="Times New Roman" w:ascii="Tahoma;Geneva;sans-serif" w:hAnsi="Tahoma;Geneva;sans-serif"/>
                <w:b w:val="false"/>
                <w:bCs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 xml:space="preserve">, </w:t>
            </w:r>
            <w:r>
              <w:rPr>
                <w:rFonts w:cs="Times New Roman" w:ascii="Times New Roman" w:hAnsi="Times New Roman"/>
                <w:bCs/>
              </w:rPr>
              <w:t>положением постановле</w:t>
            </w:r>
            <w:bookmarkStart w:id="2" w:name="_GoBack1"/>
            <w:bookmarkEnd w:id="2"/>
            <w:r>
              <w:rPr>
                <w:rFonts w:cs="Times New Roman" w:ascii="Times New Roman" w:hAnsi="Times New Roman"/>
                <w:bCs/>
              </w:rPr>
              <w:t xml:space="preserve">ния Правительства Российской Федерации от 26 июня 2012 г. № 644, </w:t>
            </w:r>
            <w:r>
              <w:rPr>
                <w:rFonts w:cs="Times New Roman" w:ascii="Times New Roman" w:hAnsi="Times New Roman"/>
                <w:b w:val="false"/>
                <w:bCs/>
                <w:i w:val="false"/>
                <w:caps w:val="false"/>
                <w:smallCaps w:val="false"/>
                <w:color w:val="1B1B1B"/>
                <w:spacing w:val="0"/>
                <w:sz w:val="22"/>
                <w:szCs w:val="22"/>
              </w:rPr>
              <w:t>Приказ</w:t>
            </w:r>
            <w:r>
              <w:rPr>
                <w:rFonts w:cs="Times New Roman" w:ascii="Times New Roman" w:hAnsi="Times New Roman"/>
                <w:b w:val="false"/>
                <w:bCs/>
                <w:i w:val="false"/>
                <w:caps w:val="false"/>
                <w:smallCaps w:val="false"/>
                <w:color w:val="1B1B1B"/>
                <w:spacing w:val="0"/>
                <w:sz w:val="22"/>
                <w:szCs w:val="22"/>
              </w:rPr>
              <w:t>ом</w:t>
            </w:r>
            <w:r>
              <w:rPr>
                <w:rFonts w:cs="Times New Roman" w:ascii="Times New Roman" w:hAnsi="Times New Roman"/>
                <w:b w:val="false"/>
                <w:bCs/>
                <w:i w:val="false"/>
                <w:caps w:val="false"/>
                <w:smallCaps w:val="false"/>
                <w:color w:val="1B1B1B"/>
                <w:spacing w:val="0"/>
                <w:sz w:val="22"/>
                <w:szCs w:val="22"/>
              </w:rPr>
              <w:t xml:space="preserve"> Минкомсвязи России от 31 августа 2016 г. </w:t>
            </w:r>
            <w:r>
              <w:rPr>
                <w:rFonts w:cs="Times New Roman" w:ascii="Times New Roman" w:hAnsi="Times New Roman"/>
                <w:bCs/>
                <w:caps w:val="false"/>
                <w:smallCaps w:val="false"/>
                <w:color w:val="1B1B1B"/>
                <w:spacing w:val="0"/>
                <w:sz w:val="22"/>
                <w:szCs w:val="22"/>
              </w:rPr>
              <w:t xml:space="preserve">№ </w:t>
            </w:r>
            <w:r>
              <w:rPr>
                <w:rFonts w:cs="Times New Roman" w:ascii="Times New Roman" w:hAnsi="Times New Roman"/>
                <w:b w:val="false"/>
                <w:bCs/>
                <w:i w:val="false"/>
                <w:caps w:val="false"/>
                <w:smallCaps w:val="false"/>
                <w:color w:val="1B1B1B"/>
                <w:spacing w:val="0"/>
                <w:sz w:val="22"/>
                <w:szCs w:val="22"/>
              </w:rPr>
              <w:t>420</w:t>
            </w:r>
            <w:r>
              <w:rPr>
                <w:rFonts w:cs="Times New Roman" w:ascii="Times New Roman" w:hAnsi="Times New Roman"/>
                <w:bCs/>
              </w:rPr>
              <w:t xml:space="preserve"> </w:t>
            </w:r>
            <w:r>
              <w:rPr>
                <w:rFonts w:cs="Times New Roman" w:ascii="Times New Roman" w:hAnsi="Times New Roman"/>
                <w:bCs/>
              </w:rPr>
              <w:t>и приказом Минкомсвязи России № 127 для создания МПИ необходимо: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 w:ascii="Times New Roman" w:hAnsi="Times New Roman"/>
                <w:bCs/>
              </w:rPr>
              <w:t>Создать ОУ соответствующей классификационной категории (если аналогичный ОУ отсутствует).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 xml:space="preserve">Получить положительное экспертное заключение Минкомсвязи России на ОУ с присвоением ему уникального идентификационного номера.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Создать МПИ, направленное на объект учёта.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Какой классификационной категории следует создать ОУ для учета расходов по продлению домена?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Если расходы по продлению домена предполагаются для обеспечения эксплуатации официального сайта государственного органа, следует создать объект учета 10 классификационной категории (объектом учета в данном случае будет официальный сайт). Для разъяснения прочих случаев требуется уточняющая информация.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Как разделить оборудование и инфраструктуру (телефонные аппараты, кабельную проводку, ЛВС, СКС) между внутренней и внешней инфраструктурой (44 и 45КК)?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 xml:space="preserve">К 44 классификационной категории следует отнести оборудование и инфраструктуру, </w:t>
            </w:r>
            <w:r>
              <w:rPr>
                <w:rFonts w:cs="Times New Roman" w:ascii="Times New Roman" w:hAnsi="Times New Roman"/>
              </w:rPr>
              <w:t>обеспечивающую связь исключительно внутри государственного органа</w:t>
            </w:r>
            <w:r>
              <w:rPr>
                <w:rFonts w:cs="Times New Roman" w:ascii="Times New Roman" w:hAnsi="Times New Roman"/>
              </w:rPr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 xml:space="preserve">К 45 классификационной категории следует отнести оборудование и инфраструктуру, </w:t>
            </w:r>
            <w:r>
              <w:rPr>
                <w:rFonts w:cs="Times New Roman" w:ascii="Times New Roman" w:hAnsi="Times New Roman"/>
              </w:rPr>
              <w:t>обеспечивающую связь вне государственного органа</w:t>
            </w:r>
            <w:r>
              <w:rPr>
                <w:rFonts w:cs="Times New Roman" w:ascii="Times New Roman" w:hAnsi="Times New Roman"/>
              </w:rPr>
              <w:t xml:space="preserve">.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ahoma">
    <w:altName w:val="Geneva"/>
    <w:charset w:val="cc"/>
    <w:family w:val="auto"/>
    <w:pitch w:val="default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Style13"/>
    <w:next w:val="Style14"/>
    <w:qFormat/>
    <w:pPr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3" w:customStyle="1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Style18" w:customStyle="1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Application>LibreOffice/6.2.4.2$Windows_X86_64 LibreOffice_project/2412653d852ce75f65fbfa83fb7e7b669a126d64</Application>
  <Pages>1</Pages>
  <Words>201</Words>
  <Characters>1411</Characters>
  <CharactersWithSpaces>1599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2020-02-26T20:49:00Z</dcterms:created>
  <dc:creator>Антонина Жук</dc:creator>
  <dc:description/>
  <dc:language>ru-RU</dc:language>
  <cp:lastModifiedBy/>
  <cp:lastPrinted>2020-03-02T13:00:08Z</cp:lastPrinted>
  <dcterms:modified xsi:type="dcterms:W3CDTF">2020-03-02T13:39:51Z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