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14="http://schemas.microsoft.com/office/drawing/2010/main" xmlns:pic="http://schemas.openxmlformats.org/drawingml/2006/picture" mc:Ignorable="w14 w15 w16se w16cid w16 w16cex w16sdtdh w16sdtfl w16du wp14">
  <w:body>
    <w:p w14:paraId="72FA65E8" w14:textId="19AAF790">
      <w:pPr>
        <w:pStyle w:val="Headline"/>
      </w:pPr>
      <w:r>
        <w:t>Lead Engineer to Platform Owner</w:t>
      </w:r>
      <w:r>
        <w:t/>
      </w:r>
    </w:p>
    <w:p w14:paraId="0B2470D7" w14:textId="33326F4F">
      <w:pPr>
        <w:pStyle w:val="Subhead"/>
      </w:pPr>
      <w:r>
        <w:t xml:space="preserve">Role description: Opportunity Indicator 3.0</w:t>
      </w:r>
      <w:r>
        <w:t/>
      </w:r>
      <w:r>
        <w:t xml:space="preserve"/>
      </w:r>
    </w:p>
    <w:p w14:paraId="09D11200" w14:textId="77777777">
      <w:pPr>
        <w:pStyle w:val="Byline"/>
        <w:tabs>
          <w:tab w:val="left" w:pos="3420"/>
        </w:tabs>
        <w:sectPr>
          <w:headerReference w:type="default" r:id="rId7"/>
          <w:footerReference w:type="default" r:id="rId8"/>
          <w:headerReference w:type="first" r:id="rId9"/>
          <w:footerReference w:type="first" r:id="rId10"/>
          <w:pgSz w:w="11906" w:h="16838"/>
          <w:pgMar w:top="3960" w:right="720" w:bottom="720" w:left="90" w:header="720" w:footer="2880" w:gutter="720"/>
          <w:cols w:space="720"/>
          <w:titlePg/>
          <w:docGrid w:linePitch="360"/>
        </w:sectPr>
      </w:pPr>
      <w:r>
        <w:rPr>
          <w:noProof/>
        </w:rPr>
        <w:drawing>
          <wp:anchor distT="0" distB="0" distL="114300" distR="114300" simplePos="0" relativeHeight="251662336" behindDoc="0" locked="0" layoutInCell="1" allowOverlap="1" wp14:anchorId="13666505" wp14:editId="6440761E">
            <wp:simplePos x="0" y="0"/>
            <wp:positionH relativeFrom="column">
              <wp:posOffset>-67783</wp:posOffset>
            </wp:positionH>
            <wp:positionV relativeFrom="page">
              <wp:posOffset>5550195</wp:posOffset>
            </wp:positionV>
            <wp:extent cx="6645275" cy="4679478"/>
            <wp:effectExtent l="0" t="0" r="0" b="0"/>
            <wp:wrapNone/>
            <wp:docPr id="1684410196"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0197" name="CoverImag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2870" cy="4684826"/>
                    </a:xfrm>
                    <a:prstGeom prst="rect">
                      <a:avLst/>
                    </a:prstGeom>
                  </pic:spPr>
                </pic:pic>
              </a:graphicData>
            </a:graphic>
            <wp14:sizeRelH relativeFrom="page">
              <wp14:pctWidth>0</wp14:pctWidth>
            </wp14:sizeRelH>
            <wp14:sizeRelV relativeFrom="page">
              <wp14:pctHeight>0</wp14:pctHeight>
            </wp14:sizeRelV>
          </wp:anchor>
        </w:drawing>
      </w:r>
      <w:r>
        <w:t>Bain &amp; Company - September 2026</w:t>
      </w:r>
      <w:r>
        <w:t xml:space="preserve"/>
      </w:r>
      <w:r>
        <w:t/>
      </w:r>
    </w:p>
    <w:p>
      <w:pPr>
        <w:pStyle w:val="Contents"/>
      </w:pPr>
      <w:r>
        <w:t xml:space="preserve">Contents</w:t>
      </w:r>
    </w:p>
    <w:p>
      <w:pPr>
        <w:pStyle w:val="Contents1"/>
      </w:pPr>
      <w:hyperlink w:anchor="bw_sec_0" w:history="1">
        <w:r>
          <w:t xml:space="preserve">About this role</w:t>
        </w:r>
      </w:hyperlink>
    </w:p>
    <w:p>
      <w:pPr>
        <w:pStyle w:val="Contents1"/>
      </w:pPr>
      <w:hyperlink w:anchor="bw_sec_1" w:history="1">
        <w:r>
          <w:t xml:space="preserve">About Opportunity Indicator 3.0</w:t>
        </w:r>
      </w:hyperlink>
    </w:p>
    <w:p>
      <w:pPr>
        <w:pStyle w:val="Contents2"/>
      </w:pPr>
      <w:hyperlink w:anchor="bw_sec_2" w:history="1">
        <w:r>
          <w:t xml:space="preserve">Delivery model</w:t>
        </w:r>
      </w:hyperlink>
    </w:p>
    <w:p>
      <w:pPr>
        <w:pStyle w:val="Contents2"/>
      </w:pPr>
      <w:hyperlink w:anchor="bw_sec_3" w:history="1">
        <w:r>
          <w:t xml:space="preserve">Scale</w:t>
        </w:r>
      </w:hyperlink>
    </w:p>
    <w:p>
      <w:pPr>
        <w:pStyle w:val="Contents1"/>
      </w:pPr>
      <w:hyperlink w:anchor="bw_sec_4" w:history="1">
        <w:r>
          <w:t xml:space="preserve">Why the role is shaped this way</w:t>
        </w:r>
      </w:hyperlink>
    </w:p>
    <w:p>
      <w:pPr>
        <w:pStyle w:val="Contents1"/>
      </w:pPr>
      <w:hyperlink w:anchor="bw_sec_5" w:history="1">
        <w:r>
          <w:t xml:space="preserve">Where the role sits</w:t>
        </w:r>
      </w:hyperlink>
    </w:p>
    <w:p>
      <w:pPr>
        <w:pStyle w:val="Contents1"/>
      </w:pPr>
      <w:hyperlink w:anchor="bw_sec_6" w:history="1">
        <w:r>
          <w:t xml:space="preserve">Phase one: Lead Developer, through MVP and first demo</w:t>
        </w:r>
      </w:hyperlink>
    </w:p>
    <w:p>
      <w:pPr>
        <w:pStyle w:val="Contents2"/>
      </w:pPr>
      <w:hyperlink w:anchor="bw_sec_7" w:history="1">
        <w:r>
          <w:t xml:space="preserve">Accountable for</w:t>
        </w:r>
      </w:hyperlink>
    </w:p>
    <w:p>
      <w:pPr>
        <w:pStyle w:val="Contents1"/>
      </w:pPr>
      <w:hyperlink w:anchor="bw_sec_8" w:history="1">
        <w:r>
          <w:t xml:space="preserve">Phase two: Platform Owner, from go-live</w:t>
        </w:r>
      </w:hyperlink>
    </w:p>
    <w:p>
      <w:pPr>
        <w:pStyle w:val="Contents2"/>
      </w:pPr>
      <w:hyperlink w:anchor="bw_sec_9" w:history="1">
        <w:r>
          <w:t xml:space="preserve">Accountable for</w:t>
        </w:r>
      </w:hyperlink>
    </w:p>
    <w:p>
      <w:pPr>
        <w:pStyle w:val="Contents1"/>
      </w:pPr>
      <w:hyperlink w:anchor="bw_sec_10" w:history="1">
        <w:r>
          <w:t xml:space="preserve">What we are looking for</w:t>
        </w:r>
      </w:hyperlink>
    </w:p>
    <w:p>
      <w:pPr>
        <w:pStyle w:val="Contents2"/>
      </w:pPr>
      <w:hyperlink w:anchor="bw_sec_11" w:history="1">
        <w:r>
          <w:t xml:space="preserve">Essential</w:t>
        </w:r>
      </w:hyperlink>
    </w:p>
    <w:p>
      <w:pPr>
        <w:pStyle w:val="Contents2"/>
      </w:pPr>
      <w:hyperlink w:anchor="bw_sec_12" w:history="1">
        <w:r>
          <w:t xml:space="preserve">Strongly preferred</w:t>
        </w:r>
      </w:hyperlink>
    </w:p>
    <w:p>
      <w:pPr>
        <w:pStyle w:val="Contents2"/>
      </w:pPr>
      <w:hyperlink w:anchor="bw_sec_13" w:history="1">
        <w:r>
          <w:t xml:space="preserve">Explicitly not required</w:t>
        </w:r>
      </w:hyperlink>
    </w:p>
    <w:p>
      <w:pPr>
        <w:pStyle w:val="Contents1"/>
      </w:pPr>
      <w:hyperlink w:anchor="bw_sec_14" w:history="1">
        <w:r>
          <w:t xml:space="preserve">What this role is not</w:t>
        </w:r>
      </w:hyperlink>
    </w:p>
    <w:p>
      <w:pPr>
        <w:pStyle w:val="Contents1"/>
      </w:pPr>
      <w:hyperlink w:anchor="bw_sec_15" w:history="1">
        <w:r>
          <w:t xml:space="preserve">Success measures</w:t>
        </w:r>
      </w:hyperlink>
    </w:p>
    <w:p>
      <w:pPr>
        <w:pStyle w:val="Contents1"/>
      </w:pPr>
      <w:hyperlink w:anchor="bw_sec_16" w:history="1">
        <w:r>
          <w:t xml:space="preserve">Risks in this role, stated plainly</w:t>
        </w:r>
      </w:hyperlink>
    </w:p>
    <w:p>
      <w:pPr>
        <w:pStyle w:val="Contents1"/>
      </w:pPr>
      <w:hyperlink w:anchor="bw_sec_17" w:history="1">
        <w:r>
          <w:t xml:space="preserve">Open before this is posted</w:t>
        </w:r>
      </w:hyperlink>
    </w:p>
    <w:p>
      <w:r>
        <w:br w:type="page"/>
      </w:r>
    </w:p>
    <w:p>
      <w:pPr>
        <w:pStyle w:val="Heading1"/>
      </w:pPr>
      <w:bookmarkStart w:id="1001" w:name="bw_sec_0"/>
      <w:r>
        <w:t xml:space="preserve">About this role</w:t>
      </w:r>
      <w:bookmarkEnd w:id="1001"/>
    </w:p>
    <w:p>
      <w:pPr>
        <w:pStyle w:val="Bodycopy"/>
      </w:pPr>
      <w:r>
        <w:t xml:space="preserve">Draft for Tech Lead and HR review. Grade, band, location and employment terms are deliberately absent, because those are not for this document to set. Everything below is the shape of the job.</w:t>
      </w:r>
    </w:p>
    <w:p>
      <w:pPr>
        <w:pStyle w:val="Bodycopy"/>
      </w:pPr>
      <w:r>
        <w:t xml:space="preserve">In one line: build Opportunity Indicator 3.0 as the delivery partner's technical counterpart on the Bain side, then own it as a live service used by Bain partners to prepare for CEO conversations.</w:t>
      </w:r>
    </w:p>
    <w:p>
      <w:pPr>
        <w:pStyle w:val="Bodycopy"/>
      </w:pPr>
      <w:r>
        <w:t xml:space="preserve">Headcount: 1.0 FTE, permanent, Bain.</w:t>
      </w:r>
    </w:p>
    <w:p>
      <w:pPr>
        <w:pStyle w:val="Heading1"/>
      </w:pPr>
      <w:bookmarkStart w:id="1002" w:name="bw_sec_1"/>
      <w:r>
        <w:t xml:space="preserve">About Opportunity Indicator 3.0</w:t>
      </w:r>
      <w:bookmarkEnd w:id="1002"/>
    </w:p>
    <w:p>
      <w:pPr>
        <w:pStyle w:val="Bodycopy"/>
      </w:pPr>
      <w:r>
        <w:t xml:space="preserve">OI 3.0 is an AI-powered tool that helps Bain partners prepare for client conversations. It automates the research, benchmarking and deck creation that today takes a team of COEs and consultants two to three days, targeting roughly 30 minutes end to end.</w:t>
      </w:r>
    </w:p>
    <w:p>
      <w:pPr>
        <w:pStyle w:val="Bodycopy"/>
      </w:pPr>
      <w:r>
        <w:t xml:space="preserve">Four characteristics make it an unusual engineering problem.</w:t>
      </w:r>
    </w:p>
    <w:p>
      <w:pPr>
        <w:pStyle w:val="Bullet1"/>
      </w:pPr>
      <w:r>
        <w:t xml:space="preserve">Transparency is a requirement, not a feature. Any number a partner sees must be drillable to its data sources, its reasoning and its confidence level. Provenance has to be carried through every calculation path, and it cannot be retrofitted.</w:t>
      </w:r>
    </w:p>
    <w:p>
      <w:pPr>
        <w:pStyle w:val="Bullet1"/>
      </w:pPr>
      <w:r>
        <w:t xml:space="preserve">Figures must be re-derivable exactly, years later. A pinned set of inputs plus a pinned definition version must reproduce the original figure byte for byte.</w:t>
      </w:r>
    </w:p>
    <w:p>
      <w:pPr>
        <w:pStyle w:val="Bullet1"/>
      </w:pPr>
      <w:r>
        <w:t xml:space="preserve">The system mixes deterministic and probabilistic components by design. Financial calculations are deterministic, version-controlled services. Research, synthesis and narrative are produced by an orchestrated set of AI agents. The boundary between the two is a deliberate design property, and it is what keeps the output defensible.</w:t>
      </w:r>
    </w:p>
    <w:p>
      <w:pPr>
        <w:pStyle w:val="Bullet1"/>
      </w:pPr>
      <w:r>
        <w:t xml:space="preserve">The partner retains judgment. The stated principle is “AI as enabler, not decision-maker”. Partners are accountable for what reaches a client.</w:t>
      </w:r>
    </w:p>
    <w:p>
      <w:pPr>
        <w:pStyle w:val="Bodycopy"/>
      </w:pPr>
      <w:r>
        <w:t xml:space="preserve">The architecture is cloud-native and headless, on Azure: a React and TypeScript front end, Python and Node services in containers, a custom calculation engine, and an agent layer reaching the same capability set through governed interfaces. There are roughly 27 components and five genuinely custom builds, of which the calculation engine is the most consequential.</w:t>
      </w:r>
    </w:p>
    <w:p>
      <w:pPr>
        <w:pStyle w:val="Heading2"/>
      </w:pPr>
      <w:bookmarkStart w:id="1003" w:name="bw_sec_2"/>
      <w:r>
        <w:t xml:space="preserve">Delivery model</w:t>
      </w:r>
      <w:bookmarkEnd w:id="1003"/>
    </w:p>
    <w:p>
      <w:pPr>
        <w:pStyle w:val="Bodycopy"/>
      </w:pPr>
      <w:r>
        <w:t xml:space="preserve">An external delivery partner writes the application code. Bain holds product and architecture ownership. Cloud infrastructure, CI/CD and platform security are owned by Bain's internal technology group. This role is Bain's senior technical presence inside that arrangement.</w:t>
      </w:r>
    </w:p>
    <w:p>
      <w:pPr>
        <w:pStyle w:val="Heading2"/>
      </w:pPr>
      <w:bookmarkStart w:id="1004" w:name="bw_sec_3"/>
      <w:r>
        <w:t xml:space="preserve">Scale</w:t>
      </w:r>
      <w:bookmarkEnd w:id="1004"/>
    </w:p>
    <w:p>
      <w:pPr>
        <w:pStyle w:val="Bodycopy"/>
      </w:pPr>
      <w:r>
        <w:t xml:space="preserve">About 100 users at MVP with low concurrency, rising to 2,300 partners plus their teams at full scale. Usage is expected to be bursty around deal cycles rather than flat.</w:t>
      </w:r>
    </w:p>
    <w:p>
      <w:pPr>
        <w:pStyle w:val="Heading1"/>
      </w:pPr>
      <w:bookmarkStart w:id="1005" w:name="bw_sec_4"/>
      <w:r>
        <w:t xml:space="preserve">Why the role is shaped this way</w:t>
      </w:r>
      <w:bookmarkEnd w:id="1005"/>
    </w:p>
    <w:p>
      <w:pPr>
        <w:pStyle w:val="Bodycopy"/>
      </w:pPr>
      <w:r>
        <w:t xml:space="preserve">This is one role in two phases, and that is the point rather than a convenience.</w:t>
      </w:r>
    </w:p>
    <w:p>
      <w:pPr>
        <w:pStyle w:val="Bodycopy"/>
      </w:pPr>
      <w:r>
        <w:t xml:space="preserve">The re-derivability guarantee is bought with a closed expression grammar and a hand-written parser of roughly a thousand lines. That is a deliberate trade: a definition language that could import a library could not promise to reproduce a 2026 figure in 2031, because doing so would mean reproducing the interpreter and every transitive dependency as they stood.</w:t>
      </w:r>
    </w:p>
    <w:p>
      <w:pPr>
        <w:pStyle w:val="Bodycopy"/>
      </w:pPr>
      <w:r>
        <w:t xml:space="preserve">A guarantee of that kind is not maintained from documentation. Someone has to hold the reasoning behind it: which invariants the property-based tests assert and why, what the golden fixtures are pinned against, and what a failed trace replay actually means. Hiring a run owner after the build ends means paying to reconstruct that reasoning at exactly the moment the people who had it have rolled off.</w:t>
      </w:r>
    </w:p>
    <w:p>
      <w:pPr>
        <w:pStyle w:val="Bodycopy"/>
      </w:pPr>
      <w:r>
        <w:t xml:space="preserve">So the sequencing is deliberate. The person who will run the service helps build it, and spends the build phase buying down the cost of the run. Three build-phase deliverables exist for that reason, and they appear in the accountabilities below: the observability and alerting standard, the runbook set, and the path that lets a business steward author definitions without an engineer. All three are cheap during the build and expensive afterwards.</w:t>
      </w:r>
    </w:p>
    <w:p>
      <w:pPr>
        <w:pStyle w:val="Heading1"/>
      </w:pPr>
      <w:bookmarkStart w:id="1006" w:name="bw_sec_5"/>
      <w:r>
        <w:t xml:space="preserve">Where the role sits</w:t>
      </w:r>
      <w:bookmarkEnd w:id="1006"/>
    </w:p>
    <w:tbl>
      <w:tblPr>
        <w:tblStyle w:val="BainTable"/>
        <w:tblW w:w="9026" w:type="dxa"/>
        <w:tblLayout w:type="fixed"/>
        <w:tblLook w:firstRow="1" w:firstColumn="1" w:lastRow="0" w:lastColumn="0" w:noHBand="1" w:noVBand="1" w:val="06A0"/>
      </w:tblPr>
      <w:tblGrid>
        <w:gridCol w:w="2654"/>
        <w:gridCol w:w="6372"/>
      </w:tblGrid>
      <w:tr>
        <w:tc>
          <w:tcPr>
            <w:tcW w:w="2654" w:type="dxa"/>
          </w:tcPr>
          <w:p>
            <w:pPr>
              <w:pStyle w:val="Tableheader"/>
            </w:pPr>
            <w:r>
              <w:t xml:space="preserve"/>
            </w:r>
          </w:p>
        </w:tc>
        <w:tc>
          <w:tcPr>
            <w:tcW w:w="6372" w:type="dxa"/>
          </w:tcPr>
          <w:p>
            <w:pPr>
              <w:pStyle w:val="Tableheader"/>
            </w:pPr>
            <w:r>
              <w:t xml:space="preserve">Detail</w:t>
            </w:r>
          </w:p>
        </w:tc>
      </w:tr>
      <w:tr>
        <w:tc>
          <w:tcPr>
            <w:tcW w:w="2654" w:type="dxa"/>
          </w:tcPr>
          <w:p>
            <w:pPr>
              <w:pStyle w:val="Tablecontent"/>
            </w:pPr>
            <w:r>
              <w:t xml:space="preserve">Reports to</w:t>
            </w:r>
          </w:p>
        </w:tc>
        <w:tc>
          <w:tcPr>
            <w:tcW w:w="6372" w:type="dxa"/>
          </w:tcPr>
          <w:p>
            <w:pPr>
              <w:pStyle w:val="Tablecontent"/>
            </w:pPr>
            <w:r>
              <w:t xml:space="preserve">Tech Lead, OI 3.0, during the build. To be confirmed for the run phase</w:t>
            </w:r>
          </w:p>
        </w:tc>
      </w:tr>
      <w:tr>
        <w:tc>
          <w:tcPr>
            <w:tcW w:w="2654" w:type="dxa"/>
          </w:tcPr>
          <w:p>
            <w:pPr>
              <w:pStyle w:val="Tablecontent"/>
            </w:pPr>
            <w:r>
              <w:t xml:space="preserve">Works with daily</w:t>
            </w:r>
          </w:p>
        </w:tc>
        <w:tc>
          <w:tcPr>
            <w:tcW w:w="6372" w:type="dxa"/>
          </w:tcPr>
          <w:p>
            <w:pPr>
              <w:pStyle w:val="Tablecontent"/>
            </w:pPr>
            <w:r>
              <w:t xml:space="preserve">The delivery partner's squad, and the Product Manager</w:t>
            </w:r>
          </w:p>
        </w:tc>
      </w:tr>
      <w:tr>
        <w:tc>
          <w:tcPr>
            <w:tcW w:w="2654" w:type="dxa"/>
          </w:tcPr>
          <w:p>
            <w:pPr>
              <w:pStyle w:val="Tablecontent"/>
            </w:pPr>
            <w:r>
              <w:t xml:space="preserve">Works with regularly</w:t>
            </w:r>
          </w:p>
        </w:tc>
        <w:tc>
          <w:tcPr>
            <w:tcW w:w="6372" w:type="dxa"/>
          </w:tcPr>
          <w:p>
            <w:pPr>
              <w:pStyle w:val="Tablecontent"/>
            </w:pPr>
            <w:r>
              <w:t xml:space="preserve">Internal platform and infrastructure teams, knowledge management and analyst teams, and the owners of the upstream financial data sources</w:t>
            </w:r>
          </w:p>
        </w:tc>
      </w:tr>
      <w:tr>
        <w:tc>
          <w:tcPr>
            <w:tcW w:w="2654" w:type="dxa"/>
          </w:tcPr>
          <w:p>
            <w:pPr>
              <w:pStyle w:val="Tablecontent"/>
            </w:pPr>
            <w:r>
              <w:t xml:space="preserve">Manages</w:t>
            </w:r>
          </w:p>
        </w:tc>
        <w:tc>
          <w:tcPr>
            <w:tcW w:w="6372" w:type="dxa"/>
          </w:tcPr>
          <w:p>
            <w:pPr>
              <w:pStyle w:val="Tablecontent"/>
            </w:pPr>
            <w:r>
              <w:t xml:space="preserve">No direct reports at MVP. Directs a contracted run pod and surge capacity in the run phase</w:t>
            </w:r>
          </w:p>
        </w:tc>
      </w:tr>
    </w:tbl>
    <w:p>
      <w:pPr>
        <w:pStyle w:val="Heading1"/>
      </w:pPr>
      <w:bookmarkStart w:id="1007" w:name="bw_sec_6"/>
      <w:r>
        <w:t xml:space="preserve">Phase one: Lead Developer, through MVP and first demo</w:t>
      </w:r>
      <w:bookmarkEnd w:id="1007"/>
    </w:p>
    <w:p>
      <w:pPr>
        <w:pStyle w:val="Bodycopy"/>
      </w:pPr>
      <w:r>
        <w:t xml:space="preserve">Bain's senior technical presence inside a squad delivering a system with 27 components, two runtimes and an agent layer.</w:t>
      </w:r>
    </w:p>
    <w:p>
      <w:pPr>
        <w:pStyle w:val="Heading2"/>
      </w:pPr>
      <w:bookmarkStart w:id="1008" w:name="bw_sec_7"/>
      <w:r>
        <w:t xml:space="preserve">Accountable for</w:t>
      </w:r>
      <w:bookmarkEnd w:id="1008"/>
    </w:p>
    <w:p>
      <w:pPr>
        <w:pStyle w:val="Bullet1"/>
      </w:pPr>
      <w:r>
        <w:t xml:space="preserve">Technical quality of what the delivery partner ships. Design review, code review, and holding the line on the decisions that are load-bearing: business rules kept out of the client, calculation authority in one place, the deterministic and probabilistic boundary respected, and an evidence binding on every claim.</w:t>
      </w:r>
    </w:p>
    <w:p>
      <w:pPr>
        <w:pStyle w:val="Bullet1"/>
      </w:pPr>
      <w:r>
        <w:t xml:space="preserve">Hands-on build of the components Bain cannot afford to hold at arm's length. Primarily the calculation engine, the expression grammar and the definition registry. These are the genuinely differentiated builds, and the calculation engine is the one component other Bain teams are expected to reuse. This is a writing-code role, not a reviewing-code role.</w:t>
      </w:r>
    </w:p>
    <w:p>
      <w:pPr>
        <w:pStyle w:val="Bullet1"/>
      </w:pPr>
      <w:r>
        <w:t xml:space="preserve">The evaluation harness and the golden dataset, jointly with Bain analysts. The golden dataset is a fixed set of target companies with reviewed reference peer sets, expected opportunity themes and known-good claims. Without it there is no baseline to regress model and prompt changes against, and no model can be changed safely once the service is live.</w:t>
      </w:r>
    </w:p>
    <w:p>
      <w:pPr>
        <w:pStyle w:val="Bullet1"/>
      </w:pPr>
      <w:r>
        <w:t xml:space="preserve">Writing the operational standard, which does not exist yet. There is currently no written observability standard, no non-functional targets beyond accessibility, and no documented deployment topology. The person who will be woken up by this system should be the one who defines what it emits, what “degraded” means, and what a rollback does.</w:t>
      </w:r>
    </w:p>
    <w:p>
      <w:pPr>
        <w:pStyle w:val="Bullet1"/>
      </w:pPr>
      <w:r>
        <w:t xml:space="preserve">The runbook set, written during the build. One per failure mode, each tested by someone who did not write it.</w:t>
      </w:r>
    </w:p>
    <w:p>
      <w:pPr>
        <w:pStyle w:val="Bullet1"/>
      </w:pPr>
      <w:r>
        <w:t xml:space="preserve">The definition self-service path. At MVP, changing a lever range, a sector KPI or a taxonomy node requires an engineer and a source-control change. Moving that to steward authoring is the largest single reduction in this role's own future workload, worth roughly 0.4 FTE a year. Argue for it, then build it.</w:t>
      </w:r>
    </w:p>
    <w:p>
      <w:pPr>
        <w:pStyle w:val="Heading1"/>
      </w:pPr>
      <w:bookmarkStart w:id="1009" w:name="bw_sec_8"/>
      <w:r>
        <w:t xml:space="preserve">Phase two: Platform Owner, from go-live</w:t>
      </w:r>
      <w:bookmarkEnd w:id="1009"/>
    </w:p>
    <w:p>
      <w:pPr>
        <w:pStyle w:val="Bodycopy"/>
      </w:pPr>
      <w:r>
        <w:t xml:space="preserve">Single accountable owner for OI 3.0 as a live service, directing contracted capacity rather than managing a team.</w:t>
      </w:r>
    </w:p>
    <w:p>
      <w:pPr>
        <w:pStyle w:val="Heading2"/>
      </w:pPr>
      <w:bookmarkStart w:id="1010" w:name="bw_sec_9"/>
      <w:r>
        <w:t xml:space="preserve">Accountable for</w:t>
      </w:r>
      <w:bookmarkEnd w:id="1010"/>
    </w:p>
    <w:p>
      <w:pPr>
        <w:pStyle w:val="Bullet1"/>
      </w:pPr>
      <w:r>
        <w:t xml:space="preserve">Service health and incident command. Second-line triage, customer communication, and every ticket that survives the first-line service desk.</w:t>
      </w:r>
    </w:p>
    <w:p>
      <w:pPr>
        <w:pStyle w:val="Bullet1"/>
      </w:pPr>
      <w:r>
        <w:t xml:space="preserve">The release train. A monthly production release with a hotfix lane, and the go or no-go decision against a gate that blocks on AI red teaming, a structured analyst review of output quality, and a full performance scenario.</w:t>
      </w:r>
    </w:p>
    <w:p>
      <w:pPr>
        <w:pStyle w:val="Bullet1"/>
      </w:pPr>
      <w:r>
        <w:t xml:space="preserve">Currency of the analysis, which is the real job. Data sources drift, benchmarks go stale, and model versions are deprecated on a provider's schedule rather than ours. The expensive failure here is not downtime: a stale figure ships with a confidence badge and a full provenance trail attached, in front of a client, and no uptime monitor sees it. That is why the role exists and why it is owned at Bain.</w:t>
      </w:r>
    </w:p>
    <w:p>
      <w:pPr>
        <w:pStyle w:val="Bullet1"/>
      </w:pPr>
      <w:r>
        <w:t xml:space="preserve">Directing the contracted run pod and the surge budget: scope, priority, quality bar, and the commercial conversation about the retainer.</w:t>
      </w:r>
    </w:p>
    <w:p>
      <w:pPr>
        <w:pStyle w:val="Bullet1"/>
      </w:pPr>
      <w:r>
        <w:t xml:space="preserve">Cost. Model and token spend at the gateway, cloud consumption, and retainer draw.</w:t>
      </w:r>
    </w:p>
    <w:p>
      <w:pPr>
        <w:pStyle w:val="Bullet1"/>
      </w:pPr>
      <w:r>
        <w:t xml:space="preserve">Audit and access obligations. Audit digest publication, retention, and entitlement reviews.</w:t>
      </w:r>
    </w:p>
    <w:p>
      <w:pPr>
        <w:pStyle w:val="Bullet1"/>
      </w:pPr>
      <w:r>
        <w:t xml:space="preserve">Keeping the architecture honest under operational pressure. A run function under load reaches for the expedient fix. The hosting platform was chosen specifically so that no dedicated platform team is needed, and the closed grammar was chosen specifically to avoid an execution escape surface. Both are easy to erode one incident at a time.</w:t>
      </w:r>
    </w:p>
    <w:p>
      <w:pPr>
        <w:pStyle w:val="Heading1"/>
      </w:pPr>
      <w:bookmarkStart w:id="1011" w:name="bw_sec_10"/>
      <w:r>
        <w:t xml:space="preserve">What we are looking for</w:t>
      </w:r>
      <w:bookmarkEnd w:id="1011"/>
    </w:p>
    <w:p>
      <w:pPr>
        <w:pStyle w:val="Heading2"/>
      </w:pPr>
      <w:bookmarkStart w:id="1012" w:name="bw_sec_11"/>
      <w:r>
        <w:t xml:space="preserve">Essential</w:t>
      </w:r>
      <w:bookmarkEnd w:id="1012"/>
    </w:p>
    <w:p>
      <w:pPr>
        <w:pStyle w:val="Bullet1"/>
      </w:pPr>
      <w:r>
        <w:t xml:space="preserve">Senior hands-on engineer, comfortable in both Python and TypeScript. The split between the two runtimes is a hard architectural boundary, not a preference, and this role works across it.</w:t>
      </w:r>
    </w:p>
    <w:p>
      <w:pPr>
        <w:pStyle w:val="Bullet1"/>
      </w:pPr>
      <w:r>
        <w:t xml:space="preserve">Has personally owned something in production that other people depended on, and can describe a failure they caused and what they changed afterwards. This matters more here than any specific technology on the list.</w:t>
      </w:r>
    </w:p>
    <w:p>
      <w:pPr>
        <w:pStyle w:val="Bullet1"/>
      </w:pPr>
      <w:r>
        <w:t xml:space="preserve">Real depth in one of the two halves and genuine competence in the other: production backend and data engineering, or applied AI and agent systems. Both at depth is rare enough that we are not requiring it.</w:t>
      </w:r>
    </w:p>
    <w:p>
      <w:pPr>
        <w:pStyle w:val="Bullet1"/>
      </w:pPr>
      <w:r>
        <w:t xml:space="preserve">Has worked on a system where the numbers had to be right and could be challenged, such as financial calculation, risk, pricing, regulatory reporting or actuarial work. This is not a nice-to-have. The whole product is an argument about defensibility, and someone who has never had a figure contested will underweight what that costs to build.</w:t>
      </w:r>
    </w:p>
    <w:p>
      <w:pPr>
        <w:pStyle w:val="Bullet1"/>
      </w:pPr>
      <w:r>
        <w:t xml:space="preserve">Has evaluated non-deterministic systems properly: regression suites over model output, assertions on invariants and distributions rather than exact strings, and enough judgement to tell a metric that moved because the model changed from one that moved because the product broke.</w:t>
      </w:r>
    </w:p>
    <w:p>
      <w:pPr>
        <w:pStyle w:val="Bullet1"/>
      </w:pPr>
      <w:r>
        <w:t xml:space="preserve">Cloud-native delivery on a managed platform, ideally Azure: containers, managed identity, secret management, private networking, and OpenTelemetry instrumentation.</w:t>
      </w:r>
    </w:p>
    <w:p>
      <w:pPr>
        <w:pStyle w:val="Bullet1"/>
      </w:pPr>
      <w:r>
        <w:t xml:space="preserve">Has worked effectively through a delivery partner. This role does not command the squad. It sets the bar, argues for it, and gets there without formal authority.</w:t>
      </w:r>
    </w:p>
    <w:p>
      <w:pPr>
        <w:pStyle w:val="Bullet1"/>
      </w:pPr>
      <w:r>
        <w:t xml:space="preserve">Writes clearly. A substantial part of both phases is written work: standards, runbooks, reviews and recommendations.</w:t>
      </w:r>
    </w:p>
    <w:p>
      <w:pPr>
        <w:pStyle w:val="Heading2"/>
      </w:pPr>
      <w:bookmarkStart w:id="1013" w:name="bw_sec_12"/>
      <w:r>
        <w:t xml:space="preserve">Strongly preferred</w:t>
      </w:r>
      <w:bookmarkEnd w:id="1013"/>
    </w:p>
    <w:p>
      <w:pPr>
        <w:pStyle w:val="Bullet1"/>
      </w:pPr>
      <w:r>
        <w:t xml:space="preserve">FastAPI, and modern React with TypeScript, in that order of importance.</w:t>
      </w:r>
    </w:p>
    <w:p>
      <w:pPr>
        <w:pStyle w:val="Bullet1"/>
      </w:pPr>
      <w:r>
        <w:t xml:space="preserve">Agent orchestration in production: tool contracts, streaming, effort budgeting, and failure handling. Experience of a specific framework is a bonus rather than an expectation, since the orchestration substrate was selected recently and nobody has years on it.</w:t>
      </w:r>
    </w:p>
    <w:p>
      <w:pPr>
        <w:pStyle w:val="Bullet1"/>
      </w:pPr>
      <w:r>
        <w:t xml:space="preserve">Analytical data work: columnar file formats, embedded query engines, and warehouse layering.</w:t>
      </w:r>
    </w:p>
    <w:p>
      <w:pPr>
        <w:pStyle w:val="Bullet1"/>
      </w:pPr>
      <w:r>
        <w:t xml:space="preserve">Document generation at fidelity: OOXML, headless rendering, and template systems.</w:t>
      </w:r>
    </w:p>
    <w:p>
      <w:pPr>
        <w:pStyle w:val="Bullet1"/>
      </w:pPr>
      <w:r>
        <w:t xml:space="preserve">Exposure to consulting or professional-services delivery, and to the tolerance senior users have for a tool that is wrong once.</w:t>
      </w:r>
    </w:p>
    <w:p>
      <w:pPr>
        <w:pStyle w:val="Heading2"/>
      </w:pPr>
      <w:bookmarkStart w:id="1014" w:name="bw_sec_13"/>
      <w:r>
        <w:t xml:space="preserve">Explicitly not required</w:t>
      </w:r>
      <w:bookmarkEnd w:id="1014"/>
    </w:p>
    <w:p>
      <w:pPr>
        <w:pStyle w:val="Bullet1"/>
      </w:pPr>
      <w:r>
        <w:t xml:space="preserve">Kubernetes depth. A managed container platform was chosen precisely to avoid needing it.</w:t>
      </w:r>
    </w:p>
    <w:p>
      <w:pPr>
        <w:pStyle w:val="Bullet1"/>
      </w:pPr>
      <w:r>
        <w:t xml:space="preserve">Line-management experience. This is a technical-ownership role.</w:t>
      </w:r>
    </w:p>
    <w:p>
      <w:pPr>
        <w:pStyle w:val="Bullet1"/>
      </w:pPr>
      <w:r>
        <w:t xml:space="preserve">Prior Bain experience.</w:t>
      </w:r>
    </w:p>
    <w:p>
      <w:pPr>
        <w:pStyle w:val="Heading1"/>
      </w:pPr>
      <w:bookmarkStart w:id="1015" w:name="bw_sec_14"/>
      <w:r>
        <w:t xml:space="preserve">What this role is not</w:t>
      </w:r>
      <w:bookmarkEnd w:id="1015"/>
    </w:p>
    <w:p>
      <w:pPr>
        <w:pStyle w:val="Bodycopy"/>
      </w:pPr>
      <w:r>
        <w:t xml:space="preserve">Each of these is a plausible misreading that would produce the wrong hire.</w:t>
      </w:r>
    </w:p>
    <w:p>
      <w:pPr>
        <w:pStyle w:val="Bullet1"/>
      </w:pPr>
      <w:r>
        <w:t xml:space="preserve">Not an infrastructure or platform engineer. DevOps, cloud infrastructure and CI/CD are owned by Bain's internal technology group. This role consumes them.</w:t>
      </w:r>
    </w:p>
    <w:p>
      <w:pPr>
        <w:pStyle w:val="Bullet1"/>
      </w:pPr>
      <w:r>
        <w:t xml:space="preserve">Not the Product Manager. Feature scope and priority sit with the PM.</w:t>
      </w:r>
    </w:p>
    <w:p>
      <w:pPr>
        <w:pStyle w:val="Bullet1"/>
      </w:pPr>
      <w:r>
        <w:t xml:space="preserve">Not the architecture authority. Architecture decisions belong to the Tech Lead and the architecture decision record process. This role is the strongest technical voice in that conversation, and it implements the outcome.</w:t>
      </w:r>
    </w:p>
    <w:p>
      <w:pPr>
        <w:pStyle w:val="Bullet1"/>
      </w:pPr>
      <w:r>
        <w:t xml:space="preserve">Not a team lead with reports. Influence here comes from being the person who wrote the hard part and is still there a year later.</w:t>
      </w:r>
    </w:p>
    <w:p>
      <w:pPr>
        <w:pStyle w:val="Heading1"/>
      </w:pPr>
      <w:bookmarkStart w:id="1016" w:name="bw_sec_15"/>
      <w:r>
        <w:t xml:space="preserve">Success measures</w:t>
      </w:r>
      <w:bookmarkEnd w:id="1016"/>
    </w:p>
    <w:tbl>
      <w:tblPr>
        <w:tblStyle w:val="BainTable"/>
        <w:tblW w:w="9026" w:type="dxa"/>
        <w:tblLayout w:type="fixed"/>
        <w:tblLook w:firstRow="1" w:firstColumn="1" w:lastRow="0" w:lastColumn="0" w:noHBand="1" w:noVBand="1" w:val="06A0"/>
      </w:tblPr>
      <w:tblGrid>
        <w:gridCol w:w="1805"/>
        <w:gridCol w:w="7221"/>
      </w:tblGrid>
      <w:tr>
        <w:tc>
          <w:tcPr>
            <w:tcW w:w="1805" w:type="dxa"/>
          </w:tcPr>
          <w:p>
            <w:pPr>
              <w:pStyle w:val="Tableheader"/>
            </w:pPr>
            <w:r>
              <w:t xml:space="preserve">By</w:t>
            </w:r>
          </w:p>
        </w:tc>
        <w:tc>
          <w:tcPr>
            <w:tcW w:w="7221" w:type="dxa"/>
          </w:tcPr>
          <w:p>
            <w:pPr>
              <w:pStyle w:val="Tableheader"/>
            </w:pPr>
            <w:r>
              <w:t xml:space="preserve">Looks like</w:t>
            </w:r>
          </w:p>
        </w:tc>
      </w:tr>
      <w:tr>
        <w:tc>
          <w:tcPr>
            <w:tcW w:w="1805" w:type="dxa"/>
          </w:tcPr>
          <w:p>
            <w:pPr>
              <w:pStyle w:val="Tablecontent"/>
            </w:pPr>
            <w:r>
              <w:t xml:space="preserve">3 months</w:t>
            </w:r>
          </w:p>
        </w:tc>
        <w:tc>
          <w:tcPr>
            <w:tcW w:w="7221" w:type="dxa"/>
          </w:tcPr>
          <w:p>
            <w:pPr>
              <w:pStyle w:val="Tablecontent"/>
            </w:pPr>
            <w:r>
              <w:t xml:space="preserve">Trusted inside the delivery squad. Contributing to the calculation engine directly. Observability standard drafted and agreed</w:t>
            </w:r>
          </w:p>
        </w:tc>
      </w:tr>
      <w:tr>
        <w:tc>
          <w:tcPr>
            <w:tcW w:w="1805" w:type="dxa"/>
          </w:tcPr>
          <w:p>
            <w:pPr>
              <w:pStyle w:val="Tablecontent"/>
            </w:pPr>
            <w:r>
              <w:t xml:space="preserve">6 months</w:t>
            </w:r>
          </w:p>
        </w:tc>
        <w:tc>
          <w:tcPr>
            <w:tcW w:w="7221" w:type="dxa"/>
          </w:tcPr>
          <w:p>
            <w:pPr>
              <w:pStyle w:val="Tablecontent"/>
            </w:pPr>
            <w:r>
              <w:t xml:space="preserve">First major demo delivered without a technical incident. Runbooks written and tested by someone else. First version of the golden dataset exists, with a named curation owner</w:t>
            </w:r>
          </w:p>
        </w:tc>
      </w:tr>
      <w:tr>
        <w:tc>
          <w:tcPr>
            <w:tcW w:w="1805" w:type="dxa"/>
          </w:tcPr>
          <w:p>
            <w:pPr>
              <w:pStyle w:val="Tablecontent"/>
            </w:pPr>
            <w:r>
              <w:t xml:space="preserve">12 months</w:t>
            </w:r>
          </w:p>
        </w:tc>
        <w:tc>
          <w:tcPr>
            <w:tcW w:w="7221" w:type="dxa"/>
          </w:tcPr>
          <w:p>
            <w:pPr>
              <w:pStyle w:val="Tablecontent"/>
            </w:pPr>
            <w:r>
              <w:t xml:space="preserve">Live service with a defined and met availability commitment. Content changes shipping routinely without engineering involvement. Bus-factor test passed: another engineer made a calculation-engine change unaided</w:t>
            </w:r>
          </w:p>
        </w:tc>
      </w:tr>
      <w:tr>
        <w:tc>
          <w:tcPr>
            <w:tcW w:w="1805" w:type="dxa"/>
          </w:tcPr>
          <w:p>
            <w:pPr>
              <w:pStyle w:val="Tablecontent"/>
            </w:pPr>
            <w:r>
              <w:t xml:space="preserve">18 months</w:t>
            </w:r>
          </w:p>
        </w:tc>
        <w:tc>
          <w:tcPr>
            <w:tcW w:w="7221" w:type="dxa"/>
          </w:tcPr>
          <w:p>
            <w:pPr>
              <w:pStyle w:val="Tablecontent"/>
            </w:pPr>
            <w:r>
              <w:t xml:space="preserve">Run cost per analysis trending down. Enhancement queue predictable rather than reactive. The role is replaceable, which is the real measure</w:t>
            </w:r>
          </w:p>
        </w:tc>
      </w:tr>
    </w:tbl>
    <w:p>
      <w:pPr>
        <w:pStyle w:val="Heading1"/>
      </w:pPr>
      <w:bookmarkStart w:id="1017" w:name="bw_sec_16"/>
      <w:r>
        <w:t xml:space="preserve">Risks in this role, stated plainly</w:t>
      </w:r>
      <w:bookmarkEnd w:id="1017"/>
    </w:p>
    <w:p>
      <w:pPr>
        <w:pStyle w:val="Bodycopy"/>
      </w:pPr>
      <w:r>
        <w:t xml:space="preserve">A job description that hides these produces a bad hire and a short tenure.</w:t>
      </w:r>
    </w:p>
    <w:p>
      <w:pPr>
        <w:pStyle w:val="Bullet1"/>
      </w:pPr>
      <w:r>
        <w:t xml:space="preserve">Key-person concentration is designed into this role. The mitigations belong in the job from day one rather than after the first resignation: a named second for production access, a rehearsed deputy in the run pod, documentation treated as a graded deliverable, and a quarterly test in which someone else makes a change unaided.</w:t>
      </w:r>
    </w:p>
    <w:p>
      <w:pPr>
        <w:pStyle w:val="Bullet1"/>
      </w:pPr>
      <w:r>
        <w:t xml:space="preserve">The build-to-run transition is where this kind of role usually fails, because run work is interrupt-driven and build work is not. A fixed operating calendar protects the maintenance streams from the ticket queue, and it only works if it is defended.</w:t>
      </w:r>
    </w:p>
    <w:p>
      <w:pPr>
        <w:pStyle w:val="Bullet1"/>
      </w:pPr>
      <w:r>
        <w:t xml:space="preserve">The audience is unforgiving. The primary user is an accountable partner taking output into a client meeting. This role carries responsibility that is disproportionate to the headcount around it, and the right candidate should want that rather than merely accept it.</w:t>
      </w:r>
    </w:p>
    <w:p>
      <w:pPr>
        <w:pStyle w:val="Bullet1"/>
      </w:pPr>
      <w:r>
        <w:t xml:space="preserve">Several foundations are not written yet. The security, non-functional, observability, interface and deployment design standards are all still blank. The honest framing is that this role gets to write them, which is either the most attractive thing about the job or a reason to decline it. Better to find out which at interview.</w:t>
      </w:r>
    </w:p>
    <w:p>
      <w:pPr>
        <w:pStyle w:val="Heading1"/>
      </w:pPr>
      <w:bookmarkStart w:id="1018" w:name="bw_sec_17"/>
      <w:r>
        <w:t xml:space="preserve">Open before this is posted</w:t>
      </w:r>
      <w:bookmarkEnd w:id="1018"/>
    </w:p>
    <w:tbl>
      <w:tblPr>
        <w:tblStyle w:val="BainTable"/>
        <w:tblW w:w="9026" w:type="dxa"/>
        <w:tblLayout w:type="fixed"/>
        <w:tblLook w:firstRow="1" w:firstColumn="0" w:lastRow="0" w:lastColumn="0" w:noHBand="1" w:noVBand="1" w:val="0620"/>
      </w:tblPr>
      <w:tblGrid>
        <w:gridCol w:w="6876"/>
        <w:gridCol w:w="2150"/>
      </w:tblGrid>
      <w:tr>
        <w:tc>
          <w:tcPr>
            <w:tcW w:w="6876" w:type="dxa"/>
          </w:tcPr>
          <w:p>
            <w:pPr>
              <w:pStyle w:val="Tableheader"/>
            </w:pPr>
            <w:r>
              <w:t xml:space="preserve">Item</w:t>
            </w:r>
          </w:p>
        </w:tc>
        <w:tc>
          <w:tcPr>
            <w:tcW w:w="2150" w:type="dxa"/>
          </w:tcPr>
          <w:p>
            <w:pPr>
              <w:pStyle w:val="Tableheader"/>
            </w:pPr>
            <w:r>
              <w:t xml:space="preserve">Owner</w:t>
            </w:r>
          </w:p>
        </w:tc>
      </w:tr>
      <w:tr>
        <w:tc>
          <w:tcPr>
            <w:tcW w:w="6876" w:type="dxa"/>
          </w:tcPr>
          <w:p>
            <w:pPr>
              <w:pStyle w:val="Tablecontent"/>
            </w:pPr>
            <w:r>
              <w:t xml:space="preserve">The availability target, which decides whether the run phase carries an out-of-hours obligation. This changes both the role and the contract</w:t>
            </w:r>
          </w:p>
        </w:tc>
        <w:tc>
          <w:tcPr>
            <w:tcW w:w="2150" w:type="dxa"/>
          </w:tcPr>
          <w:p>
            <w:pPr>
              <w:pStyle w:val="Tablecontent"/>
            </w:pPr>
            <w:r>
              <w:t xml:space="preserve">Bain</w:t>
            </w:r>
          </w:p>
        </w:tc>
      </w:tr>
      <w:tr>
        <w:tc>
          <w:tcPr>
            <w:tcW w:w="6876" w:type="dxa"/>
          </w:tcPr>
          <w:p>
            <w:pPr>
              <w:pStyle w:val="Tablecontent"/>
            </w:pPr>
            <w:r>
              <w:t xml:space="preserve">Grade, band and location</w:t>
            </w:r>
          </w:p>
        </w:tc>
        <w:tc>
          <w:tcPr>
            <w:tcW w:w="2150" w:type="dxa"/>
          </w:tcPr>
          <w:p>
            <w:pPr>
              <w:pStyle w:val="Tablecontent"/>
            </w:pPr>
            <w:r>
              <w:t xml:space="preserve">HR</w:t>
            </w:r>
          </w:p>
        </w:tc>
      </w:tr>
      <w:tr>
        <w:tc>
          <w:tcPr>
            <w:tcW w:w="6876" w:type="dxa"/>
          </w:tcPr>
          <w:p>
            <w:pPr>
              <w:pStyle w:val="Tablecontent"/>
            </w:pPr>
            <w:r>
              <w:t xml:space="preserve">Reporting line in the run phase</w:t>
            </w:r>
          </w:p>
        </w:tc>
        <w:tc>
          <w:tcPr>
            <w:tcW w:w="2150" w:type="dxa"/>
          </w:tcPr>
          <w:p>
            <w:pPr>
              <w:pStyle w:val="Tablecontent"/>
            </w:pPr>
            <w:r>
              <w:t xml:space="preserve">Tech Lead and PM</w:t>
            </w:r>
          </w:p>
        </w:tc>
      </w:tr>
      <w:tr>
        <w:tc>
          <w:tcPr>
            <w:tcW w:w="6876" w:type="dxa"/>
          </w:tcPr>
          <w:p>
            <w:pPr>
              <w:pStyle w:val="Tablecontent"/>
            </w:pPr>
            <w:r>
              <w:t xml:space="preserve">Whether the run retainer with the delivery partner is agreed. This role directs it, and the description assumes it exists</w:t>
            </w:r>
          </w:p>
        </w:tc>
        <w:tc>
          <w:tcPr>
            <w:tcW w:w="2150" w:type="dxa"/>
          </w:tcPr>
          <w:p>
            <w:pPr>
              <w:pStyle w:val="Tablecontent"/>
            </w:pPr>
            <w:r>
              <w:t xml:space="preserve">Tech Lead, with commercial</w:t>
            </w:r>
          </w:p>
        </w:tc>
      </w:tr>
    </w:tbl>
    <w:p>
      <w:pPr>
        <w:sectPr>
          <w:headerReference w:type="default" r:id="rId13"/>
          <w:footerReference w:type="default" r:id="rId14"/>
          <w:pgSz w:w="11906" w:h="16838"/>
          <w:pgMar w:top="1980" w:right="1440" w:bottom="1440" w:left="1440" w:header="720" w:footer="403" w:gutter="0"/>
          <w:cols w:space="720"/>
          <w:docGrid w:linePitch="360"/>
        </w:sectPr>
      </w:pPr>
    </w:p>
    <w:p w14:paraId="2C7BA808" w14:textId="5FC21A3A">
      <w:pPr>
        <w:pStyle w:val="Contents"/>
      </w:pPr>
      <w:r>
        <w:lastRenderedPageBreak/>
        <w:t xml:space="preserve">Bold ideas. Bold teams. </w:t>
      </w:r>
      <w:r>
        <w:br/>
      </w:r>
      <w:r>
        <w:t>Extraordinary results.</w:t>
      </w:r>
    </w:p>
    <w:p w14:paraId="1EEA0264" w14:textId="77777777">
      <w:pPr>
        <w:pStyle w:val="Heading2"/>
      </w:pPr>
      <w:r>
        <w:t>Bain &amp; Company is a global consultancy that helps the world’s most ambitious change makers define the future.</w:t>
      </w:r>
    </w:p>
    <w:p w14:paraId="126A74BF" w14:textId="2A2F0528">
      <w:pPr>
        <w:pStyle w:val="Bodycopy"/>
      </w:pPr>
      <w:r>
        <w:t xml:space="preserve">Bain &amp; Company works with leaders worldwide to solve their toughest challenges and deliver enduring results. Since 1973, we’ve partnered with clients, including private equity and portfolio companies to build the capabilities they need to stay ahead of change and help them redefine their industries. We measure our success by our clients’ success, and we proudly hold the highest levels of client advocacy in our field. Bain is consistently recognized globally as one of the best places to work. We operate as one global team, uniting strategists, industry and functional experts, technologists, </w:t>
      </w:r>
      <w:r>
        <w:br/>
        <w:t>and advisors with a vibrant ecosystem of technology partners.</w:t>
      </w:r>
    </w:p>
    <w:sectPr>
      <w:headerReference w:type="default" r:id="rId24"/>
      <w:footerReference w:type="default" r:id="rId23"/>
      <w:pgSz w:w="11906" w:h="16838"/>
      <w:pgMar w:top="2268" w:right="1440" w:bottom="1440" w:left="1440" w:header="113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84134F" w14:textId="77777777">
      <w:pPr>
        <w:spacing w:after="0" w:line="240" w:lineRule="auto"/>
      </w:pPr>
      <w:r>
        <w:separator/>
      </w:r>
    </w:p>
  </w:endnote>
  <w:endnote w:type="continuationSeparator" w:id="0">
    <w:p w14:paraId="5D54EA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Graphik Regular">
    <w:panose1 w:val="020B0503030202060203"/>
    <w:charset w:val="4D"/>
    <w:family w:val="swiss"/>
    <w:notTrueType/>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Georgia Pro">
    <w:panose1 w:val="02040502050405020303"/>
    <w:charset w:val="00"/>
    <w:family w:val="roman"/>
    <w:pitch w:val="variable"/>
    <w:sig w:usb0="00000287" w:usb1="00000000" w:usb2="00000000" w:usb3="00000000" w:csb0="0000009F" w:csb1="00000000"/>
    <w:embedRegular r:id="rId1" w:fontKey="{EA2DD42C-8150-4949-A7DB-A86557ED0C4D}" w:subsetted="false"/>
    <w:embedBold r:id="rId2" w:fontKey="{8C6AAF34-703C-4E7F-9563-C49704CE053A}" w:subsetted="fals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AD1D3" w14:textId="77777777">
    <w:pPr>
      <w:pStyle w:val="PageNumber1"/>
      <w:jc w:val="left"/>
    </w:pPr>
    <w:r>
      <w:rPr>
        <w:noProof/>
      </w:rPr>
      <w:drawing>
        <wp:anchor distT="0" distB="0" distL="114300" distR="114300" simplePos="0" relativeHeight="251657216" behindDoc="1" locked="0" layoutInCell="1" allowOverlap="1" wp14:anchorId="7B04DEF0" wp14:editId="59C66DBB">
          <wp:simplePos x="0" y="0"/>
          <wp:positionH relativeFrom="column">
            <wp:posOffset>-455685</wp:posOffset>
          </wp:positionH>
          <wp:positionV relativeFrom="page">
            <wp:posOffset>8238490</wp:posOffset>
          </wp:positionV>
          <wp:extent cx="7772400" cy="1816482"/>
          <wp:effectExtent l="0" t="0" r="0" b="0"/>
          <wp:wrapNone/>
          <wp:docPr id="1180394323" name="BrandFooterB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115576" name="BrandFooterBand"/>
                  <pic:cNvPicPr/>
                </pic:nvPicPr>
                <pic:blipFill>
                  <a:blip r:embed="rId1">
                    <a:extLst>
                      <a:ext uri="{28A0092B-C50C-407E-A947-70E740481C1C}">
                        <a14:useLocalDpi xmlns:a14="http://schemas.microsoft.com/office/drawing/2010/main" val="0"/>
                      </a:ext>
                    </a:extLst>
                  </a:blip>
                  <a:stretch>
                    <a:fillRect/>
                  </a:stretch>
                </pic:blipFill>
                <pic:spPr>
                  <a:xfrm>
                    <a:off x="0" y="0"/>
                    <a:ext cx="7772400" cy="181648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B639A" w14:textId="6A9013AA">
    <w:pPr>
      <w:pStyle w:val="Footer"/>
    </w:pPr>
    <w:r>
      <w:rPr>
        <w:noProof/>
      </w:rPr>
      <w:drawing>
        <wp:anchor distT="0" distB="0" distL="114300" distR="114300" simplePos="0" relativeHeight="251660288" behindDoc="1" locked="0" layoutInCell="1" allowOverlap="1" wp14:anchorId="344F6382" wp14:editId="20D1FB8E">
          <wp:simplePos x="0" y="0"/>
          <wp:positionH relativeFrom="column">
            <wp:posOffset>-514941</wp:posOffset>
          </wp:positionH>
          <wp:positionV relativeFrom="paragraph">
            <wp:posOffset>188595</wp:posOffset>
          </wp:positionV>
          <wp:extent cx="7772400" cy="1828800"/>
          <wp:effectExtent l="0" t="0" r="0" b="0"/>
          <wp:wrapNone/>
          <wp:docPr id="726150238" name="BrandFooterB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4115576" name="BrandFooterBand"/>
                  <pic:cNvPicPr/>
                </pic:nvPicPr>
                <pic:blipFill>
                  <a:blip r:embed="rId1">
                    <a:extLst>
                      <a:ext uri="{28A0092B-C50C-407E-A947-70E740481C1C}">
                        <a14:useLocalDpi xmlns:a14="http://schemas.microsoft.com/office/drawing/2010/main" val="0"/>
                      </a:ext>
                    </a:extLst>
                  </a:blip>
                  <a:stretch>
                    <a:fillRect/>
                  </a:stretch>
                </pic:blipFill>
                <pic:spPr>
                  <a:xfrm>
                    <a:off x="0" y="0"/>
                    <a:ext cx="7772400" cy="1828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BC488" w14:textId="77777777">
    <w:pPr>
      <w:pStyle w:val="PageNumber1"/>
    </w:pPr>
    <w:fldSimple w:instr=" PAGE ">
      <w: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947FD" w14:textId="2CE24DBD">
    <w:pPr>
      <w:pStyle w:val="Legal"/>
    </w:pPr>
    <w:r>
      <w:t xml:space="preserve">This work is based on secondary market research, analysis of financial information available or provided to Bain &amp; Company and a range </w:t>
    </w:r>
    <w:r>
      <w:br/>
      <w:t xml:space="preserve">of interviews with industry participants. Bain &amp; Company has not independently verified any such information provided or available to Bain and </w:t>
    </w:r>
    <w:r>
      <w:br/>
      <w:t xml:space="preserve">makes no representation or warranty, express or implied, that such information is accurate or complete. Projected market and financial information, analyses and conclusions contained herein are based on the information described above and on Bain &amp; Company’s </w:t>
    </w:r>
    <w:proofErr w:type="gramStart"/>
    <w:r>
      <w:t>judgment, and</w:t>
    </w:r>
    <w:proofErr w:type="gramEnd"/>
    <w:r>
      <w:t xml:space="preserve"> should not be construed as definitive forecasts or guarantees of future performance or results. The information and analysis herein </w:t>
    </w:r>
    <w:proofErr w:type="gramStart"/>
    <w:r>
      <w:t>does</w:t>
    </w:r>
    <w:proofErr w:type="gramEnd"/>
    <w:r>
      <w:t xml:space="preserve"> not constitute advice of any kind, is not intended to be used for investment purposes, and neither Bain &amp; Company nor any of its subsidiaries or their respective officers, directors, shareholders, employees or agents accept any responsibility or liability with respect to the use of or reliance on any information or analysis contained in this document. This work is copyright Bain &amp; Company and may not be published, transmitted, broadcast, copied, reproduced or reprinted in whole or in part without the explicit written permission of Bain &amp; Company.</w:t>
    </w:r>
  </w:p>
  <w:p w14:paraId="162B9280" w14:textId="77777777">
    <w:pPr>
      <w:pStyle w:val="Legal"/>
    </w:pPr>
  </w:p>
  <w:p w14:paraId="209FE6F5" w14:textId="77777777">
    <w:pPr>
      <w:pStyle w:val="Legal"/>
    </w:pPr>
  </w:p>
  <w:p w14:paraId="7E78BE92" w14:textId="7A168125">
    <w:pPr>
      <w:pStyle w:val="Legal"/>
    </w:pPr>
    <w:r>
      <w:t>Copyright © 2026 Bain &amp; Company,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DBDBD0" w14:textId="77777777">
      <w:pPr>
        <w:spacing w:after="0" w:line="240" w:lineRule="auto"/>
      </w:pPr>
      <w:r>
        <w:separator/>
      </w:r>
    </w:p>
  </w:footnote>
  <w:footnote w:type="continuationSeparator" w:id="0">
    <w:p w14:paraId="6E1C8BE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77124" w14:textId="77777777">
    <w:pPr>
      <w:pStyle w:val="Header"/>
      <w:ind w:left="-720"/>
    </w:pPr>
    <w:r>
      <w:rPr>
        <w:noProof/>
      </w:rPr>
      <w:drawing>
        <wp:anchor distT="0" distB="0" distL="114300" distR="114300" simplePos="0" relativeHeight="251658240" behindDoc="0" locked="0" layoutInCell="1" allowOverlap="1" wp14:anchorId="1B1B55FA" wp14:editId="02BE0CB9">
          <wp:simplePos x="0" y="0"/>
          <wp:positionH relativeFrom="column">
            <wp:posOffset>0</wp:posOffset>
          </wp:positionH>
          <wp:positionV relativeFrom="paragraph">
            <wp:posOffset>273685</wp:posOffset>
          </wp:positionV>
          <wp:extent cx="1280160" cy="392430"/>
          <wp:effectExtent l="0" t="0" r="2540" b="1270"/>
          <wp:wrapNone/>
          <wp:docPr id="1487512768"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685"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r>
      <w:br/>
    </w:r>
    <w:r>
      <w:br/>
    </w:r>
  </w:p>
  <w:p w14:paraId="6F0C3F2D" w14:textId="77777777">
    <w:pPr>
      <w:pStyle w:val="Runningdoc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3730A" w14:textId="77777777">
    <w:pPr>
      <w:pStyle w:val="Header"/>
    </w:pPr>
    <w:r>
      <w:rPr>
        <w:noProof/>
      </w:rPr>
      <w:drawing>
        <wp:anchor distT="0" distB="0" distL="114300" distR="114300" simplePos="0" relativeHeight="251659264" behindDoc="0" locked="0" layoutInCell="1" allowOverlap="1" wp14:anchorId="012441DC" wp14:editId="66FF55A8">
          <wp:simplePos x="0" y="0"/>
          <wp:positionH relativeFrom="column">
            <wp:posOffset>0</wp:posOffset>
          </wp:positionH>
          <wp:positionV relativeFrom="paragraph">
            <wp:posOffset>273685</wp:posOffset>
          </wp:positionV>
          <wp:extent cx="1280160" cy="392430"/>
          <wp:effectExtent l="0" t="0" r="2540" b="1270"/>
          <wp:wrapNone/>
          <wp:docPr id="415593907"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685"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r>
      <w:br/>
    </w:r>
    <w:r>
      <w:br/>
    </w:r>
  </w:p>
  <w:p w14:paraId="4428243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27853" w14:textId="34A3486C">
    <w:pPr>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6192" behindDoc="0" locked="0" layoutInCell="1" allowOverlap="1" wp14:anchorId="436B2BD2" wp14:editId="3D7D44F4">
              <wp:simplePos x="0" y="0"/>
              <wp:positionH relativeFrom="column">
                <wp:posOffset>-461645</wp:posOffset>
              </wp:positionH>
              <wp:positionV relativeFrom="paragraph">
                <wp:posOffset>193675</wp:posOffset>
              </wp:positionV>
              <wp:extent cx="6645600" cy="0"/>
              <wp:effectExtent l="0" t="0" r="9525" b="12700"/>
              <wp:wrapNone/>
              <wp:docPr id="626378776" name="BrandHeaderRule"/>
              <wp:cNvGraphicFramePr/>
              <a:graphic xmlns:a="http://schemas.openxmlformats.org/drawingml/2006/main">
                <a:graphicData uri="http://schemas.microsoft.com/office/word/2010/wordprocessingShape">
                  <wps:wsp>
                    <wps:cNvCnPr/>
                    <wps:spPr>
                      <a:xfrm>
                        <a:off x="0" y="0"/>
                        <a:ext cx="66456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13D8EF4" id="Straight Connector 2"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5pt,15.25pt" to="486.95pt,1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" strokecolor="black [3213]" strokeweight=".25pt">
              <v:stroke joinstyle="miter"/>
            </v:line>
          </w:pict>
        </mc:Fallback>
      </mc:AlternateContent>
    </w:r>
    <w:r>
      <w:rPr>
        <w:rFonts w:ascii="Arial" w:hAnsi="Arial" w:cs="Arial"/>
        <w:noProof/>
        <w:sz w:val="20"/>
        <w:szCs w:val="20"/>
      </w:rPr>
      <w:drawing>
        <wp:anchor distT="0" distB="0" distL="114300" distR="114300" simplePos="0" relativeHeight="251655168" behindDoc="0" locked="0" layoutInCell="1" allowOverlap="1" wp14:anchorId="32BF6AAB" wp14:editId="1EC235F2">
          <wp:simplePos x="0" y="0"/>
          <wp:positionH relativeFrom="column">
            <wp:posOffset>2249602</wp:posOffset>
          </wp:positionH>
          <wp:positionV relativeFrom="paragraph">
            <wp:posOffset>-21590</wp:posOffset>
          </wp:positionV>
          <wp:extent cx="1261745" cy="138430"/>
          <wp:effectExtent l="0" t="0" r="0" b="1270"/>
          <wp:wrapNone/>
          <wp:docPr id="1684410195" name="Brand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1802" name="BrandHeaderLogo"/>
                  <pic:cNvPicPr/>
                </pic:nvPicPr>
                <pic:blipFill>
                  <a:blip r:embed="rId1"/>
                  <a:stretch>
                    <a:fillRect/>
                  </a:stretch>
                </pic:blipFill>
                <pic:spPr>
                  <a:xfrm>
                    <a:off x="0" y="0"/>
                    <a:ext cx="1261745" cy="138430"/>
                  </a:xfrm>
                  <a:prstGeom prst="rect">
                    <a:avLst/>
                  </a:prstGeom>
                </pic:spPr>
              </pic:pic>
            </a:graphicData>
          </a:graphic>
          <wp14:sizeRelH relativeFrom="page">
            <wp14:pctWidth>0</wp14:pctWidth>
          </wp14:sizeRelH>
          <wp14:sizeRelV relativeFrom="page">
            <wp14:pctHeight>0</wp14:pctHeight>
          </wp14:sizeRelV>
        </wp:anchor>
      </w:drawing>
    </w:r>
  </w:p>
  <w:p w14:paraId="019EC7FF" w14:textId="77777777">
    <w:pPr>
      <w:pStyle w:val="Runningdoctitle"/>
    </w:pPr>
    <w:r>
      <w:t>Lead Engineer to Platform Owner</w:t>
    </w:r>
    <w:r>
      <w:t xml:space="preserv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r>
      <w:rPr>
        <w:noProof/>
      </w:rPr>
      <w:drawing>
        <wp:anchor distT="0" distB="0" distL="114300" distR="114300" simplePos="0" relativeHeight="251658240" behindDoc="0" locked="0" layoutInCell="1" allowOverlap="1" wp14:anchorId="1B1B55FA" wp14:editId="02BE0CB9">
          <wp:simplePos x="0" y="0"/>
          <wp:positionH relativeFrom="column">
            <wp:posOffset>0</wp:posOffset>
          </wp:positionH>
          <wp:positionV relativeFrom="paragraph">
            <wp:posOffset>14068</wp:posOffset>
          </wp:positionV>
          <wp:extent cx="1280160" cy="392430"/>
          <wp:effectExtent l="0" t="0" r="2540" b="1270"/>
          <wp:wrapNone/>
          <wp:docPr id="1487512900" name="BrandCover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9810" name="BrandCoverBand"/>
                  <pic:cNvPicPr/>
                </pic:nvPicPr>
                <pic:blipFill>
                  <a:blip r:embed="rId1"/>
                  <a:stretch>
                    <a:fillRect/>
                  </a:stretch>
                </pic:blipFill>
                <pic:spPr>
                  <a:xfrm>
                    <a:off x="0" y="0"/>
                    <a:ext cx="1280160" cy="3924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5pt;height:67.7pt" o:bullet="t">
        <v:imagedata r:id="rId1" o:title="Screenshot 2026-07-06 at 1"/>
      </v:shape>
    </w:pict>
  </w:numPicBullet>
  <w:numPicBullet w:numPicBulletId="1">
    <w:pict>
      <v:shape id="_x0000_i1026" type="#_x0000_t75" style="width:11.5pt;height:23.05pt" o:bullet="t">
        <v:imagedata r:id="rId2" o:title="Bullet_1@4x"/>
      </v:shape>
    </w:pict>
  </w:numPicBullet>
  <w:abstractNum w:abstractNumId="0" w15:restartNumberingAfterBreak="0">
    <w:nsid w:val="FFFFFF89"/>
    <w:multiLevelType w:val="singleLevel"/>
    <w:tmpl w:val="FB86F9C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D12682"/>
    <w:multiLevelType w:val="hybridMultilevel"/>
    <w:tmpl w:val="06A08A02"/>
    <w:lvl w:ilvl="0" w:tplc="AC0A86C6">
      <w:start w:val="1"/>
      <w:numFmt w:val="bullet"/>
      <w:pStyle w:val="Bullet3"/>
      <w:lvlText w:val="&gt;"/>
      <w:lvlJc w:val="left"/>
      <w:pPr>
        <w:tabs>
          <w:tab w:val="num" w:pos="720"/>
        </w:tabs>
        <w:ind w:left="720" w:hanging="288"/>
      </w:pPr>
      <w:rPr>
        <w:rFonts w:ascii="Palatino" w:hAnsi="Palatin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50C2B"/>
    <w:multiLevelType w:val="multilevel"/>
    <w:tmpl w:val="FDA43176"/>
    <w:styleLink w:val="CurrentList2"/>
    <w:lvl w:ilvl="0">
      <w:start w:val="1"/>
      <w:numFmt w:val="bullet"/>
      <w:lvlText w:val=""/>
      <w:lvlPicBulletId w:val="0"/>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0256FA5"/>
    <w:multiLevelType w:val="hybridMultilevel"/>
    <w:tmpl w:val="A2726B72"/>
    <w:lvl w:ilvl="0" w:tplc="5958EA16">
      <w:start w:val="1"/>
      <w:numFmt w:val="bullet"/>
      <w:pStyle w:val="Bullet2"/>
      <w:lvlText w:val="—"/>
      <w:lvlJc w:val="left"/>
      <w:pPr>
        <w:tabs>
          <w:tab w:val="num" w:pos="432"/>
        </w:tabs>
        <w:ind w:left="432" w:hanging="432"/>
      </w:pPr>
      <w:rPr>
        <w:rFonts w:ascii="Palatino" w:hAnsi="Palatin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BC2B7D"/>
    <w:multiLevelType w:val="multilevel"/>
    <w:tmpl w:val="1096B2E6"/>
    <w:styleLink w:val="CurrentList1"/>
    <w:lvl w:ilvl="0">
      <w:start w:val="1"/>
      <w:numFmt w:val="bullet"/>
      <w:lvlText w:val=""/>
      <w:lvlPicBulletId w:val="0"/>
      <w:lvlJc w:val="left"/>
      <w:pPr>
        <w:tabs>
          <w:tab w:val="num" w:pos="360"/>
        </w:tabs>
        <w:ind w:left="3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57206EA"/>
    <w:multiLevelType w:val="hybridMultilevel"/>
    <w:tmpl w:val="44D28CC4"/>
    <w:lvl w:ilvl="0" w:tplc="B268D3D4">
      <w:start w:val="3"/>
      <w:numFmt w:val="bullet"/>
      <w:pStyle w:val="Contents3"/>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5D446C"/>
    <w:multiLevelType w:val="multilevel"/>
    <w:tmpl w:val="670A6EA8"/>
    <w:styleLink w:val="CurrentList5"/>
    <w:lvl w:ilvl="0">
      <w:start w:val="1"/>
      <w:numFmt w:val="bullet"/>
      <w:lvlText w:val=""/>
      <w:lvlPicBulletId w:val="1"/>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AF1716F"/>
    <w:multiLevelType w:val="hybridMultilevel"/>
    <w:tmpl w:val="1674A09A"/>
    <w:lvl w:ilvl="0" w:tplc="C95EDA34">
      <w:start w:val="1"/>
      <w:numFmt w:val="bullet"/>
      <w:pStyle w:val="Bullet1"/>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B42E17"/>
    <w:multiLevelType w:val="multilevel"/>
    <w:tmpl w:val="A2726B72"/>
    <w:styleLink w:val="CurrentList4"/>
    <w:lvl w:ilvl="0">
      <w:start w:val="1"/>
      <w:numFmt w:val="bullet"/>
      <w:lvlText w:val="—"/>
      <w:lvlJc w:val="left"/>
      <w:pPr>
        <w:tabs>
          <w:tab w:val="num" w:pos="432"/>
        </w:tabs>
        <w:ind w:left="432" w:hanging="432"/>
      </w:pPr>
      <w:rPr>
        <w:rFonts w:ascii="Palatino" w:hAnsi="Palatino"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7FB2A16"/>
    <w:multiLevelType w:val="multilevel"/>
    <w:tmpl w:val="670A6EA8"/>
    <w:styleLink w:val="CurrentList3"/>
    <w:lvl w:ilvl="0">
      <w:start w:val="1"/>
      <w:numFmt w:val="bullet"/>
      <w:lvlText w:val=""/>
      <w:lvlPicBulletId w:val="1"/>
      <w:lvlJc w:val="left"/>
      <w:pPr>
        <w:tabs>
          <w:tab w:val="num" w:pos="216"/>
        </w:tabs>
        <w:ind w:left="216" w:hanging="21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CF229D1"/>
    <w:multiLevelType w:val="multilevel"/>
    <w:tmpl w:val="F6C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552576">
    <w:abstractNumId w:val="10"/>
  </w:num>
  <w:num w:numId="2" w16cid:durableId="2021926109">
    <w:abstractNumId w:val="0"/>
  </w:num>
  <w:num w:numId="3" w16cid:durableId="2093889098">
    <w:abstractNumId w:val="7"/>
  </w:num>
  <w:num w:numId="4" w16cid:durableId="305822552">
    <w:abstractNumId w:val="4"/>
  </w:num>
  <w:num w:numId="5" w16cid:durableId="2019186534">
    <w:abstractNumId w:val="2"/>
  </w:num>
  <w:num w:numId="6" w16cid:durableId="1228568333">
    <w:abstractNumId w:val="9"/>
  </w:num>
  <w:num w:numId="7" w16cid:durableId="1124545931">
    <w:abstractNumId w:val="3"/>
  </w:num>
  <w:num w:numId="8" w16cid:durableId="1889876454">
    <w:abstractNumId w:val="8"/>
  </w:num>
  <w:num w:numId="9" w16cid:durableId="1887989220">
    <w:abstractNumId w:val="1"/>
  </w:num>
  <w:num w:numId="10" w16cid:durableId="462191916">
    <w:abstractNumId w:val="5"/>
  </w:num>
  <w:num w:numId="11" w16cid:durableId="83148724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C3F09"/>
  <w15:chartTrackingRefBased/>
  <w15:docId w15:val="{489FEF1E-8279-0540-A3A2-3F33DE7D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0"/>
    <w:lsdException w:name="heading 5" w:semiHidden="1" w:uiPriority="9" w:unhideWhenUsed="1" w:qFormat="0"/>
    <w:lsdException w:name="heading 6" w:semiHidden="1" w:uiPriority="9" w:unhideWhenUsed="1" w:qFormat="0"/>
    <w:lsdException w:name="heading 7" w:semiHidden="1" w:uiPriority="9" w:unhideWhenUsed="1" w:qFormat="0"/>
    <w:lsdException w:name="heading 8" w:semiHidden="1" w:uiPriority="9" w:unhideWhenUsed="1" w:qFormat="0"/>
    <w:lsdException w:name="heading 9" w:semiHidden="1" w:uiPriority="9" w:unhideWhenUsed="1" w:qFormat="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0"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0"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0" w:semiHidden="1" w:unhideWhenUsed="1"/>
    <w:lsdException w:name="Emphasis" w:uiPriority="20" w:qFormat="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semiHidden="1" w:unhideWhenUsed="1"/>
    <w:lsdException w:name="Table Theme" w:semiHidden="1" w:unhideWhenUsed="1"/>
    <w:lsdException w:name="Placeholder Text" w:semiHidden="1" w:unhideWhenUsed="1"/>
    <w:lsdException w:name="No Spacing" w:uiPriority="1" w:qFormat="0" w:semiHidden="1" w:unhideWhenUsed="1"/>
    <w:lsdException w:name="Light Shading" w:uiPriority="60" w:semiHidden="1" w:unhideWhenUsed="1"/>
    <w:lsdException w:name="Light List" w:uiPriority="61" w:semiHidden="1" w:unhideWhenUsed="1"/>
    <w:lsdException w:name="Light Grid" w:uiPriority="62" w:semiHidden="1" w:unhideWhenUsed="1"/>
    <w:lsdException w:name="Medium Shading 1" w:uiPriority="63" w:semiHidden="1" w:unhideWhenUsed="1"/>
    <w:lsdException w:name="Medium Shading 2" w:uiPriority="64" w:semiHidden="1" w:unhideWhenUsed="1"/>
    <w:lsdException w:name="Medium List 1" w:uiPriority="65" w:semiHidden="1" w:unhideWhenUsed="1"/>
    <w:lsdException w:name="Medium List 2" w:uiPriority="66" w:semiHidden="1" w:unhideWhenUsed="1"/>
    <w:lsdException w:name="Medium Grid 1" w:uiPriority="67" w:semiHidden="1" w:unhideWhenUsed="1"/>
    <w:lsdException w:name="Medium Grid 2" w:uiPriority="68" w:semiHidden="1" w:unhideWhenUsed="1"/>
    <w:lsdException w:name="Medium Grid 3" w:uiPriority="69" w:semiHidden="1" w:unhideWhenUsed="1"/>
    <w:lsdException w:name="Dark List" w:uiPriority="70" w:semiHidden="1" w:unhideWhenUsed="1"/>
    <w:lsdException w:name="Colorful Shading" w:uiPriority="71" w:semiHidden="1" w:unhideWhenUsed="1"/>
    <w:lsdException w:name="Colorful List" w:uiPriority="72" w:semiHidden="1" w:unhideWhenUsed="1"/>
    <w:lsdException w:name="Colorful Grid" w:uiPriority="73" w:semiHidden="1" w:unhideWhenUsed="1"/>
    <w:lsdException w:name="Light Shading Accent 1" w:uiPriority="60" w:semiHidden="1" w:unhideWhenUsed="1"/>
    <w:lsdException w:name="Light List Accent 1" w:uiPriority="61" w:semiHidden="1" w:unhideWhenUsed="1"/>
    <w:lsdException w:name="Light Grid Accent 1" w:uiPriority="62" w:semiHidden="1" w:unhideWhenUsed="1"/>
    <w:lsdException w:name="Medium Shading 1 Accent 1" w:uiPriority="63" w:semiHidden="1" w:unhideWhenUsed="1"/>
    <w:lsdException w:name="Medium Shading 2 Accent 1" w:uiPriority="64" w:semiHidden="1" w:unhideWhenUsed="1"/>
    <w:lsdException w:name="Medium List 1 Accent 1" w:uiPriority="65" w:semiHidden="1" w:unhideWhenUsed="1"/>
    <w:lsdException w:name="Revision" w:semiHidden="1" w:unhideWhenUsed="1"/>
    <w:lsdException w:name="List Paragraph" w:uiPriority="34" w:qFormat="0" w:semiHidden="1" w:unhideWhenUsed="1"/>
    <w:lsdException w:name="Quote" w:uiPriority="29" w:qFormat="0" w:semiHidden="1" w:unhideWhenUsed="1"/>
    <w:lsdException w:name="Intense Quote" w:uiPriority="30" w:qFormat="0" w:semiHidden="1" w:unhideWhenUsed="1"/>
    <w:lsdException w:name="Medium List 2 Accent 1" w:uiPriority="66" w:semiHidden="1" w:unhideWhenUsed="1"/>
    <w:lsdException w:name="Medium Grid 1 Accent 1" w:uiPriority="67" w:semiHidden="1" w:unhideWhenUsed="1"/>
    <w:lsdException w:name="Medium Grid 2 Accent 1" w:uiPriority="68" w:semiHidden="1" w:unhideWhenUsed="1"/>
    <w:lsdException w:name="Medium Grid 3 Accent 1" w:uiPriority="69" w:semiHidden="1" w:unhideWhenUsed="1"/>
    <w:lsdException w:name="Dark List Accent 1" w:uiPriority="70" w:semiHidden="1" w:unhideWhenUsed="1"/>
    <w:lsdException w:name="Colorful Shading Accent 1" w:uiPriority="71" w:semiHidden="1" w:unhideWhenUsed="1"/>
    <w:lsdException w:name="Colorful List Accent 1" w:uiPriority="72" w:semiHidden="1" w:unhideWhenUsed="1"/>
    <w:lsdException w:name="Colorful Grid Accent 1" w:uiPriority="73" w:semiHidden="1" w:unhideWhenUsed="1"/>
    <w:lsdException w:name="Light Shading Accent 2" w:uiPriority="60" w:semiHidden="1" w:unhideWhenUsed="1"/>
    <w:lsdException w:name="Light List Accent 2" w:uiPriority="61" w:semiHidden="1" w:unhideWhenUsed="1"/>
    <w:lsdException w:name="Light Grid Accent 2" w:uiPriority="62" w:semiHidden="1" w:unhideWhenUsed="1"/>
    <w:lsdException w:name="Medium Shading 1 Accent 2" w:uiPriority="63" w:semiHidden="1" w:unhideWhenUsed="1"/>
    <w:lsdException w:name="Medium Shading 2 Accent 2" w:uiPriority="64" w:semiHidden="1" w:unhideWhenUsed="1"/>
    <w:lsdException w:name="Medium List 1 Accent 2" w:uiPriority="65" w:semiHidden="1" w:unhideWhenUsed="1"/>
    <w:lsdException w:name="Medium List 2 Accent 2" w:uiPriority="66" w:semiHidden="1" w:unhideWhenUsed="1"/>
    <w:lsdException w:name="Medium Grid 1 Accent 2" w:uiPriority="67" w:semiHidden="1" w:unhideWhenUsed="1"/>
    <w:lsdException w:name="Medium Grid 2 Accent 2" w:uiPriority="68" w:semiHidden="1" w:unhideWhenUsed="1"/>
    <w:lsdException w:name="Medium Grid 3 Accent 2" w:uiPriority="69" w:semiHidden="1" w:unhideWhenUsed="1"/>
    <w:lsdException w:name="Dark List Accent 2" w:uiPriority="70" w:semiHidden="1" w:unhideWhenUsed="1"/>
    <w:lsdException w:name="Colorful Shading Accent 2" w:uiPriority="71" w:semiHidden="1" w:unhideWhenUsed="1"/>
    <w:lsdException w:name="Colorful List Accent 2" w:uiPriority="72" w:semiHidden="1" w:unhideWhenUsed="1"/>
    <w:lsdException w:name="Colorful Grid Accent 2" w:uiPriority="73" w:semiHidden="1" w:unhideWhenUsed="1"/>
    <w:lsdException w:name="Light Shading Accent 3" w:uiPriority="60" w:semiHidden="1" w:unhideWhenUsed="1"/>
    <w:lsdException w:name="Light List Accent 3" w:uiPriority="61" w:semiHidden="1" w:unhideWhenUsed="1"/>
    <w:lsdException w:name="Light Grid Accent 3" w:uiPriority="62" w:semiHidden="1" w:unhideWhenUsed="1"/>
    <w:lsdException w:name="Medium Shading 1 Accent 3" w:uiPriority="63" w:semiHidden="1" w:unhideWhenUsed="1"/>
    <w:lsdException w:name="Medium Shading 2 Accent 3" w:uiPriority="64" w:semiHidden="1" w:unhideWhenUsed="1"/>
    <w:lsdException w:name="Medium List 1 Accent 3" w:uiPriority="65" w:semiHidden="1" w:unhideWhenUsed="1"/>
    <w:lsdException w:name="Medium List 2 Accent 3" w:uiPriority="66" w:semiHidden="1" w:unhideWhenUsed="1"/>
    <w:lsdException w:name="Medium Grid 1 Accent 3" w:uiPriority="67" w:semiHidden="1" w:unhideWhenUsed="1"/>
    <w:lsdException w:name="Medium Grid 2 Accent 3" w:uiPriority="68" w:semiHidden="1" w:unhideWhenUsed="1"/>
    <w:lsdException w:name="Medium Grid 3 Accent 3" w:uiPriority="69" w:semiHidden="1" w:unhideWhenUsed="1"/>
    <w:lsdException w:name="Dark List Accent 3" w:uiPriority="70" w:semiHidden="1" w:unhideWhenUsed="1"/>
    <w:lsdException w:name="Colorful Shading Accent 3" w:uiPriority="71" w:semiHidden="1" w:unhideWhenUsed="1"/>
    <w:lsdException w:name="Colorful List Accent 3" w:uiPriority="72" w:semiHidden="1" w:unhideWhenUsed="1"/>
    <w:lsdException w:name="Colorful Grid Accent 3" w:uiPriority="73" w:semiHidden="1" w:unhideWhenUsed="1"/>
    <w:lsdException w:name="Light Shading Accent 4" w:uiPriority="60" w:semiHidden="1" w:unhideWhenUsed="1"/>
    <w:lsdException w:name="Light List Accent 4" w:uiPriority="61" w:semiHidden="1" w:unhideWhenUsed="1"/>
    <w:lsdException w:name="Light Grid Accent 4" w:uiPriority="62" w:semiHidden="1" w:unhideWhenUsed="1"/>
    <w:lsdException w:name="Medium Shading 1 Accent 4" w:uiPriority="63" w:semiHidden="1" w:unhideWhenUsed="1"/>
    <w:lsdException w:name="Medium Shading 2 Accent 4" w:uiPriority="64" w:semiHidden="1" w:unhideWhenUsed="1"/>
    <w:lsdException w:name="Medium List 1 Accent 4" w:uiPriority="65" w:semiHidden="1" w:unhideWhenUsed="1"/>
    <w:lsdException w:name="Medium List 2 Accent 4" w:uiPriority="66" w:semiHidden="1" w:unhideWhenUsed="1"/>
    <w:lsdException w:name="Medium Grid 1 Accent 4" w:uiPriority="67" w:semiHidden="1" w:unhideWhenUsed="1"/>
    <w:lsdException w:name="Medium Grid 2 Accent 4" w:uiPriority="68" w:semiHidden="1" w:unhideWhenUsed="1"/>
    <w:lsdException w:name="Medium Grid 3 Accent 4" w:uiPriority="69" w:semiHidden="1" w:unhideWhenUsed="1"/>
    <w:lsdException w:name="Dark List Accent 4" w:uiPriority="70" w:semiHidden="1" w:unhideWhenUsed="1"/>
    <w:lsdException w:name="Colorful Shading Accent 4" w:uiPriority="71" w:semiHidden="1" w:unhideWhenUsed="1"/>
    <w:lsdException w:name="Colorful List Accent 4" w:uiPriority="72" w:semiHidden="1" w:unhideWhenUsed="1"/>
    <w:lsdException w:name="Colorful Grid Accent 4" w:uiPriority="73" w:semiHidden="1" w:unhideWhenUsed="1"/>
    <w:lsdException w:name="Light Shading Accent 5" w:uiPriority="60" w:semiHidden="1" w:unhideWhenUsed="1"/>
    <w:lsdException w:name="Light List Accent 5" w:uiPriority="61" w:semiHidden="1" w:unhideWhenUsed="1"/>
    <w:lsdException w:name="Light Grid Accent 5" w:uiPriority="62" w:semiHidden="1" w:unhideWhenUsed="1"/>
    <w:lsdException w:name="Medium Shading 1 Accent 5" w:uiPriority="63" w:semiHidden="1" w:unhideWhenUsed="1"/>
    <w:lsdException w:name="Medium Shading 2 Accent 5" w:uiPriority="64" w:semiHidden="1" w:unhideWhenUsed="1"/>
    <w:lsdException w:name="Medium List 1 Accent 5" w:uiPriority="65" w:semiHidden="1" w:unhideWhenUsed="1"/>
    <w:lsdException w:name="Medium List 2 Accent 5" w:uiPriority="66" w:semiHidden="1" w:unhideWhenUsed="1"/>
    <w:lsdException w:name="Medium Grid 1 Accent 5" w:uiPriority="67" w:semiHidden="1" w:unhideWhenUsed="1"/>
    <w:lsdException w:name="Medium Grid 2 Accent 5" w:uiPriority="68" w:semiHidden="1" w:unhideWhenUsed="1"/>
    <w:lsdException w:name="Medium Grid 3 Accent 5" w:uiPriority="69" w:semiHidden="1" w:unhideWhenUsed="1"/>
    <w:lsdException w:name="Dark List Accent 5" w:uiPriority="70" w:semiHidden="1" w:unhideWhenUsed="1"/>
    <w:lsdException w:name="Colorful Shading Accent 5" w:uiPriority="71" w:semiHidden="1" w:unhideWhenUsed="1"/>
    <w:lsdException w:name="Colorful List Accent 5" w:uiPriority="72" w:semiHidden="1" w:unhideWhenUsed="1"/>
    <w:lsdException w:name="Colorful Grid Accent 5" w:uiPriority="73" w:semiHidden="1" w:unhideWhenUsed="1"/>
    <w:lsdException w:name="Light Shading Accent 6" w:uiPriority="60" w:semiHidden="1" w:unhideWhenUsed="1"/>
    <w:lsdException w:name="Light List Accent 6" w:uiPriority="61" w:semiHidden="1" w:unhideWhenUsed="1"/>
    <w:lsdException w:name="Light Grid Accent 6" w:uiPriority="62" w:semiHidden="1" w:unhideWhenUsed="1"/>
    <w:lsdException w:name="Medium Shading 1 Accent 6" w:uiPriority="63" w:semiHidden="1" w:unhideWhenUsed="1"/>
    <w:lsdException w:name="Medium Shading 2 Accent 6" w:uiPriority="64" w:semiHidden="1" w:unhideWhenUsed="1"/>
    <w:lsdException w:name="Medium List 1 Accent 6" w:uiPriority="65" w:semiHidden="1" w:unhideWhenUsed="1"/>
    <w:lsdException w:name="Medium List 2 Accent 6" w:uiPriority="66" w:semiHidden="1" w:unhideWhenUsed="1"/>
    <w:lsdException w:name="Medium Grid 1 Accent 6" w:uiPriority="67" w:semiHidden="1" w:unhideWhenUsed="1"/>
    <w:lsdException w:name="Medium Grid 2 Accent 6" w:uiPriority="68" w:semiHidden="1" w:unhideWhenUsed="1"/>
    <w:lsdException w:name="Medium Grid 3 Accent 6" w:uiPriority="69" w:semiHidden="1" w:unhideWhenUsed="1"/>
    <w:lsdException w:name="Dark List Accent 6" w:uiPriority="70" w:semiHidden="1" w:unhideWhenUsed="1"/>
    <w:lsdException w:name="Colorful Shading Accent 6" w:uiPriority="71" w:semiHidden="1" w:unhideWhenUsed="1"/>
    <w:lsdException w:name="Colorful List Accent 6" w:uiPriority="72" w:semiHidden="1" w:unhideWhenUsed="1"/>
    <w:lsdException w:name="Colorful Grid Accent 6" w:uiPriority="73" w:semiHidden="1" w:unhideWhenUsed="1"/>
    <w:lsdException w:name="Subtle Emphasis" w:uiPriority="19" w:qFormat="0" w:semiHidden="1" w:unhideWhenUsed="1"/>
    <w:lsdException w:name="Intense Emphasis" w:uiPriority="21" w:qFormat="0" w:semiHidden="1" w:unhideWhenUsed="1"/>
    <w:lsdException w:name="Subtle Reference" w:uiPriority="31" w:qFormat="0" w:semiHidden="1" w:unhideWhenUsed="1"/>
    <w:lsdException w:name="Intense Reference" w:uiPriority="32" w:qFormat="0" w:semiHidden="1" w:unhideWhenUsed="1"/>
    <w:lsdException w:name="Book Title" w:uiPriority="33" w:qFormat="0" w:semiHidden="1" w:unhideWhenUsed="1"/>
    <w:lsdException w:name="Bibliography" w:semiHidden="1" w:uiPriority="37" w:unhideWhenUsed="1"/>
    <w:lsdException w:name="TOC Heading" w:semiHidden="1" w:uiPriority="39" w:unhideWhenUsed="1" w:qFormat="0"/>
    <w:lsdException w:name="Plain Table 1" w:uiPriority="41" w:semiHidden="1" w:unhideWhenUsed="1"/>
    <w:lsdException w:name="Plain Table 2" w:uiPriority="42" w:semiHidden="1" w:unhideWhenUsed="1"/>
    <w:lsdException w:name="Plain Table 3" w:uiPriority="43" w:semiHidden="1" w:unhideWhenUsed="1"/>
    <w:lsdException w:name="Plain Table 4" w:uiPriority="44" w:semiHidden="1" w:unhideWhenUsed="1"/>
    <w:lsdException w:name="Plain Table 5" w:uiPriority="45" w:semiHidden="1" w:unhideWhenUsed="1"/>
    <w:lsdException w:name="Grid Table Light" w:uiPriority="40" w:semiHidden="1" w:unhideWhenUsed="1"/>
    <w:lsdException w:name="Grid Table 1 Light" w:uiPriority="46" w:semiHidden="1" w:unhideWhenUsed="1"/>
    <w:lsdException w:name="Grid Table 2" w:uiPriority="47" w:semiHidden="1" w:unhideWhenUsed="1"/>
    <w:lsdException w:name="Grid Table 3" w:uiPriority="48" w:semiHidden="1" w:unhideWhenUsed="1"/>
    <w:lsdException w:name="Grid Table 4" w:uiPriority="49" w:semiHidden="1" w:unhideWhenUsed="1"/>
    <w:lsdException w:name="Grid Table 5 Dark" w:uiPriority="50" w:semiHidden="1" w:unhideWhenUsed="1"/>
    <w:lsdException w:name="Grid Table 6 Colorful" w:uiPriority="51" w:semiHidden="1" w:unhideWhenUsed="1"/>
    <w:lsdException w:name="Grid Table 7 Colorful" w:uiPriority="52" w:semiHidden="1" w:unhideWhenUsed="1"/>
    <w:lsdException w:name="Grid Table 1 Light Accent 1" w:uiPriority="46" w:semiHidden="1" w:unhideWhenUsed="1"/>
    <w:lsdException w:name="Grid Table 2 Accent 1" w:uiPriority="47" w:semiHidden="1" w:unhideWhenUsed="1"/>
    <w:lsdException w:name="Grid Table 3 Accent 1" w:uiPriority="48" w:semiHidden="1" w:unhideWhenUsed="1"/>
    <w:lsdException w:name="Grid Table 4 Accent 1" w:uiPriority="49" w:semiHidden="1" w:unhideWhenUsed="1"/>
    <w:lsdException w:name="Grid Table 5 Dark Accent 1" w:uiPriority="50" w:semiHidden="1" w:unhideWhenUsed="1"/>
    <w:lsdException w:name="Grid Table 6 Colorful Accent 1" w:uiPriority="51" w:semiHidden="1" w:unhideWhenUsed="1"/>
    <w:lsdException w:name="Grid Table 7 Colorful Accent 1" w:uiPriority="52" w:semiHidden="1" w:unhideWhenUsed="1"/>
    <w:lsdException w:name="Grid Table 1 Light Accent 2" w:uiPriority="46" w:semiHidden="1" w:unhideWhenUsed="1"/>
    <w:lsdException w:name="Grid Table 2 Accent 2" w:uiPriority="47" w:semiHidden="1" w:unhideWhenUsed="1"/>
    <w:lsdException w:name="Grid Table 3 Accent 2" w:uiPriority="48" w:semiHidden="1" w:unhideWhenUsed="1"/>
    <w:lsdException w:name="Grid Table 4 Accent 2" w:uiPriority="49" w:semiHidden="1" w:unhideWhenUsed="1"/>
    <w:lsdException w:name="Grid Table 5 Dark Accent 2" w:uiPriority="50" w:semiHidden="1" w:unhideWhenUsed="1"/>
    <w:lsdException w:name="Grid Table 6 Colorful Accent 2" w:uiPriority="51" w:semiHidden="1" w:unhideWhenUsed="1"/>
    <w:lsdException w:name="Grid Table 7 Colorful Accent 2" w:uiPriority="52" w:semiHidden="1" w:unhideWhenUsed="1"/>
    <w:lsdException w:name="Grid Table 1 Light Accent 3" w:uiPriority="46" w:semiHidden="1" w:unhideWhenUsed="1"/>
    <w:lsdException w:name="Grid Table 2 Accent 3" w:uiPriority="47" w:semiHidden="1" w:unhideWhenUsed="1"/>
    <w:lsdException w:name="Grid Table 3 Accent 3" w:uiPriority="48" w:semiHidden="1" w:unhideWhenUsed="1"/>
    <w:lsdException w:name="Grid Table 4 Accent 3" w:uiPriority="49" w:semiHidden="1" w:unhideWhenUsed="1"/>
    <w:lsdException w:name="Grid Table 5 Dark Accent 3" w:uiPriority="50" w:semiHidden="1" w:unhideWhenUsed="1"/>
    <w:lsdException w:name="Grid Table 6 Colorful Accent 3" w:uiPriority="51" w:semiHidden="1" w:unhideWhenUsed="1"/>
    <w:lsdException w:name="Grid Table 7 Colorful Accent 3" w:uiPriority="52" w:semiHidden="1" w:unhideWhenUsed="1"/>
    <w:lsdException w:name="Grid Table 1 Light Accent 4" w:uiPriority="46" w:semiHidden="1" w:unhideWhenUsed="1"/>
    <w:lsdException w:name="Grid Table 2 Accent 4" w:uiPriority="47" w:semiHidden="1" w:unhideWhenUsed="1"/>
    <w:lsdException w:name="Grid Table 3 Accent 4" w:uiPriority="48" w:semiHidden="1" w:unhideWhenUsed="1"/>
    <w:lsdException w:name="Grid Table 4 Accent 4" w:uiPriority="49" w:semiHidden="1" w:unhideWhenUsed="1"/>
    <w:lsdException w:name="Grid Table 5 Dark Accent 4" w:uiPriority="50" w:semiHidden="1" w:unhideWhenUsed="1"/>
    <w:lsdException w:name="Grid Table 6 Colorful Accent 4" w:uiPriority="51" w:semiHidden="1" w:unhideWhenUsed="1"/>
    <w:lsdException w:name="Grid Table 7 Colorful Accent 4" w:uiPriority="52" w:semiHidden="1" w:unhideWhenUsed="1"/>
    <w:lsdException w:name="Grid Table 1 Light Accent 5" w:uiPriority="46" w:semiHidden="1" w:unhideWhenUsed="1"/>
    <w:lsdException w:name="Grid Table 2 Accent 5" w:uiPriority="47" w:semiHidden="1" w:unhideWhenUsed="1"/>
    <w:lsdException w:name="Grid Table 3 Accent 5" w:uiPriority="48" w:semiHidden="1" w:unhideWhenUsed="1"/>
    <w:lsdException w:name="Grid Table 4 Accent 5" w:uiPriority="49" w:semiHidden="1" w:unhideWhenUsed="1"/>
    <w:lsdException w:name="Grid Table 5 Dark Accent 5" w:uiPriority="50" w:semiHidden="1" w:unhideWhenUsed="1"/>
    <w:lsdException w:name="Grid Table 6 Colorful Accent 5" w:uiPriority="51" w:semiHidden="1" w:unhideWhenUsed="1"/>
    <w:lsdException w:name="Grid Table 7 Colorful Accent 5" w:uiPriority="52" w:semiHidden="1" w:unhideWhenUsed="1"/>
    <w:lsdException w:name="Grid Table 1 Light Accent 6" w:uiPriority="46" w:semiHidden="1" w:unhideWhenUsed="1"/>
    <w:lsdException w:name="Grid Table 2 Accent 6" w:uiPriority="47" w:semiHidden="1" w:unhideWhenUsed="1"/>
    <w:lsdException w:name="Grid Table 3 Accent 6" w:uiPriority="48" w:semiHidden="1" w:unhideWhenUsed="1"/>
    <w:lsdException w:name="Grid Table 4 Accent 6" w:uiPriority="49" w:semiHidden="1" w:unhideWhenUsed="1"/>
    <w:lsdException w:name="Grid Table 5 Dark Accent 6" w:uiPriority="50" w:semiHidden="1" w:unhideWhenUsed="1"/>
    <w:lsdException w:name="Grid Table 6 Colorful Accent 6" w:uiPriority="51" w:semiHidden="1" w:unhideWhenUsed="1"/>
    <w:lsdException w:name="Grid Table 7 Colorful Accent 6" w:uiPriority="52" w:semiHidden="1" w:unhideWhenUsed="1"/>
    <w:lsdException w:name="List Table 1 Light" w:uiPriority="46" w:semiHidden="1" w:unhideWhenUsed="1"/>
    <w:lsdException w:name="List Table 2" w:uiPriority="47" w:semiHidden="1" w:unhideWhenUsed="1"/>
    <w:lsdException w:name="List Table 3" w:uiPriority="48" w:semiHidden="1" w:unhideWhenUsed="1"/>
    <w:lsdException w:name="List Table 4" w:uiPriority="49" w:semiHidden="1" w:unhideWhenUsed="1"/>
    <w:lsdException w:name="List Table 5 Dark" w:uiPriority="50" w:semiHidden="1" w:unhideWhenUsed="1"/>
    <w:lsdException w:name="List Table 6 Colorful" w:uiPriority="51" w:semiHidden="1" w:unhideWhenUsed="1"/>
    <w:lsdException w:name="List Table 7 Colorful" w:uiPriority="52" w:semiHidden="1" w:unhideWhenUsed="1"/>
    <w:lsdException w:name="List Table 1 Light Accent 1" w:uiPriority="46" w:semiHidden="1" w:unhideWhenUsed="1"/>
    <w:lsdException w:name="List Table 2 Accent 1" w:uiPriority="47" w:semiHidden="1" w:unhideWhenUsed="1"/>
    <w:lsdException w:name="List Table 3 Accent 1" w:uiPriority="48" w:semiHidden="1" w:unhideWhenUsed="1"/>
    <w:lsdException w:name="List Table 4 Accent 1" w:uiPriority="49" w:semiHidden="1" w:unhideWhenUsed="1"/>
    <w:lsdException w:name="List Table 5 Dark Accent 1" w:uiPriority="50" w:semiHidden="1" w:unhideWhenUsed="1"/>
    <w:lsdException w:name="List Table 6 Colorful Accent 1" w:uiPriority="51" w:semiHidden="1" w:unhideWhenUsed="1"/>
    <w:lsdException w:name="List Table 7 Colorful Accent 1" w:uiPriority="52" w:semiHidden="1" w:unhideWhenUsed="1"/>
    <w:lsdException w:name="List Table 1 Light Accent 2" w:uiPriority="46" w:semiHidden="1" w:unhideWhenUsed="1"/>
    <w:lsdException w:name="List Table 2 Accent 2" w:uiPriority="47" w:semiHidden="1" w:unhideWhenUsed="1"/>
    <w:lsdException w:name="List Table 3 Accent 2" w:uiPriority="48" w:semiHidden="1" w:unhideWhenUsed="1"/>
    <w:lsdException w:name="List Table 4 Accent 2" w:uiPriority="49" w:semiHidden="1" w:unhideWhenUsed="1"/>
    <w:lsdException w:name="List Table 5 Dark Accent 2" w:uiPriority="50" w:semiHidden="1" w:unhideWhenUsed="1"/>
    <w:lsdException w:name="List Table 6 Colorful Accent 2" w:uiPriority="51" w:semiHidden="1" w:unhideWhenUsed="1"/>
    <w:lsdException w:name="List Table 7 Colorful Accent 2" w:uiPriority="52" w:semiHidden="1" w:unhideWhenUsed="1"/>
    <w:lsdException w:name="List Table 1 Light Accent 3" w:uiPriority="46" w:semiHidden="1" w:unhideWhenUsed="1"/>
    <w:lsdException w:name="List Table 2 Accent 3" w:uiPriority="47" w:semiHidden="1" w:unhideWhenUsed="1"/>
    <w:lsdException w:name="List Table 3 Accent 3" w:uiPriority="48" w:semiHidden="1" w:unhideWhenUsed="1"/>
    <w:lsdException w:name="List Table 4 Accent 3" w:uiPriority="49" w:semiHidden="1" w:unhideWhenUsed="1"/>
    <w:lsdException w:name="List Table 5 Dark Accent 3" w:uiPriority="50" w:semiHidden="1" w:unhideWhenUsed="1"/>
    <w:lsdException w:name="List Table 6 Colorful Accent 3" w:uiPriority="51" w:semiHidden="1" w:unhideWhenUsed="1"/>
    <w:lsdException w:name="List Table 7 Colorful Accent 3" w:uiPriority="52" w:semiHidden="1" w:unhideWhenUsed="1"/>
    <w:lsdException w:name="List Table 1 Light Accent 4" w:uiPriority="46" w:semiHidden="1" w:unhideWhenUsed="1"/>
    <w:lsdException w:name="List Table 2 Accent 4" w:uiPriority="47" w:semiHidden="1" w:unhideWhenUsed="1"/>
    <w:lsdException w:name="List Table 3 Accent 4" w:uiPriority="48" w:semiHidden="1" w:unhideWhenUsed="1"/>
    <w:lsdException w:name="List Table 4 Accent 4" w:uiPriority="49" w:semiHidden="1" w:unhideWhenUsed="1"/>
    <w:lsdException w:name="List Table 5 Dark Accent 4" w:uiPriority="50" w:semiHidden="1" w:unhideWhenUsed="1"/>
    <w:lsdException w:name="List Table 6 Colorful Accent 4" w:uiPriority="51" w:semiHidden="1" w:unhideWhenUsed="1"/>
    <w:lsdException w:name="List Table 7 Colorful Accent 4" w:uiPriority="52" w:semiHidden="1" w:unhideWhenUsed="1"/>
    <w:lsdException w:name="List Table 1 Light Accent 5" w:uiPriority="46" w:semiHidden="1" w:unhideWhenUsed="1"/>
    <w:lsdException w:name="List Table 2 Accent 5" w:uiPriority="47" w:semiHidden="1" w:unhideWhenUsed="1"/>
    <w:lsdException w:name="List Table 3 Accent 5" w:uiPriority="48" w:semiHidden="1" w:unhideWhenUsed="1"/>
    <w:lsdException w:name="List Table 4 Accent 5" w:uiPriority="49" w:semiHidden="1" w:unhideWhenUsed="1"/>
    <w:lsdException w:name="List Table 5 Dark Accent 5" w:uiPriority="50" w:semiHidden="1" w:unhideWhenUsed="1"/>
    <w:lsdException w:name="List Table 6 Colorful Accent 5" w:uiPriority="51" w:semiHidden="1" w:unhideWhenUsed="1"/>
    <w:lsdException w:name="List Table 7 Colorful Accent 5" w:uiPriority="52" w:semiHidden="1" w:unhideWhenUsed="1"/>
    <w:lsdException w:name="List Table 1 Light Accent 6" w:uiPriority="46" w:semiHidden="1" w:unhideWhenUsed="1"/>
    <w:lsdException w:name="List Table 2 Accent 6" w:uiPriority="47" w:semiHidden="1" w:unhideWhenUsed="1"/>
    <w:lsdException w:name="List Table 3 Accent 6" w:uiPriority="48" w:semiHidden="1" w:unhideWhenUsed="1"/>
    <w:lsdException w:name="List Table 4 Accent 6" w:uiPriority="49" w:semiHidden="1" w:unhideWhenUsed="1"/>
    <w:lsdException w:name="List Table 5 Dark Accent 6" w:uiPriority="50" w:semiHidden="1" w:unhideWhenUsed="1"/>
    <w:lsdException w:name="List Table 6 Colorful Accent 6" w:uiPriority="51" w:semiHidden="1" w:unhideWhenUsed="1"/>
    <w:lsdException w:name="List Table 7 Colorful Accent 6" w:uiPriority="52"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ascii="Georgia Pro" w:hAnsi="Georgia Pro"/>
    </w:rPr>
  </w:style>
  <w:style w:type="paragraph" w:styleId="Heading1">
    <w:name w:val="heading 1"/>
    <w:next w:val="Normal"/>
    <w:link w:val="Heading1Char"/>
    <w:uiPriority w:val="9"/>
    <w:qFormat/>
    <w:rsid w:val="002442B7"/>
    <w:pPr>
      <w:keepNext/>
      <w:keepLines/>
      <w:spacing w:before="480" w:after="240" w:line="620" w:lineRule="exact"/>
      <w:contextualSpacing/>
      <w:outlineLvl w:val="0"/>
    </w:pPr>
    <w:rPr>
      <w:rFonts w:ascii="Arial" w:eastAsiaTheme="majorEastAsia" w:hAnsi="Arial" w:cstheme="majorBidi"/>
      <w:b/>
      <w:color w:val="000000" w:themeColor="text1"/>
      <w:sz w:val="52"/>
      <w:szCs w:val="40"/>
    </w:rPr>
  </w:style>
  <w:style w:type="paragraph" w:styleId="Heading2">
    <w:name w:val="heading 2"/>
    <w:next w:val="Normal"/>
    <w:link w:val="Heading2Char"/>
    <w:uiPriority w:val="9"/>
    <w:unhideWhenUsed/>
    <w:qFormat/>
    <w:rsid w:val="00593E0E"/>
    <w:pPr>
      <w:keepNext/>
      <w:keepLines/>
      <w:spacing w:before="400" w:after="200" w:line="360" w:lineRule="exact"/>
      <w:contextualSpacing/>
      <w:outlineLvl w:val="1"/>
    </w:pPr>
    <w:rPr>
      <w:rFonts w:ascii="Arial" w:eastAsiaTheme="majorEastAsia" w:hAnsi="Arial" w:cstheme="majorBidi"/>
      <w:b/>
      <w:color w:val="000000" w:themeColor="text1"/>
      <w:sz w:val="26"/>
      <w:szCs w:val="32"/>
    </w:rPr>
  </w:style>
  <w:style w:type="paragraph" w:styleId="Heading3">
    <w:name w:val="heading 3"/>
    <w:basedOn w:val="Normal"/>
    <w:next w:val="Normal"/>
    <w:link w:val="Heading3Char"/>
    <w:uiPriority w:val="9"/>
    <w:unhideWhenUsed/>
    <w:qFormat/>
    <w:rsid w:val="002442B7"/>
    <w:pPr>
      <w:keepNext/>
      <w:keepLines/>
      <w:spacing w:before="240" w:after="120" w:line="300" w:lineRule="exact"/>
      <w:outlineLvl w:val="2"/>
    </w:pPr>
    <w:rPr>
      <w:rFonts w:ascii="Arial" w:eastAsiaTheme="majorEastAsia" w:hAnsi="Arial" w:cstheme="majorBidi"/>
      <w:b/>
      <w:color w:val="000000" w:themeColor="text1"/>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B7"/>
    <w:rPr>
      <w:rFonts w:ascii="Arial" w:eastAsiaTheme="majorEastAsia" w:hAnsi="Arial" w:cstheme="majorBidi"/>
      <w:b/>
      <w:i w:val="0"/>
      <w:caps w:val="0"/>
      <w:smallCaps w:val="0"/>
      <w:strike w:val="0"/>
      <w:dstrike w:val="0"/>
      <w:vanish w:val="0"/>
      <w:color w:val="000000" w:themeColor="text1"/>
      <w:sz w:val="52"/>
      <w:szCs w:val="40"/>
      <w:vertAlign w:val="baseline"/>
    </w:rPr>
  </w:style>
  <w:style w:type="character" w:customStyle="1" w:styleId="Heading2Char">
    <w:name w:val="Heading 2 Char"/>
    <w:basedOn w:val="DefaultParagraphFont"/>
    <w:link w:val="Heading2"/>
    <w:uiPriority w:val="9"/>
    <w:rsid w:val="00593E0E"/>
    <w:rPr>
      <w:rFonts w:ascii="Arial" w:eastAsiaTheme="majorEastAsia" w:hAnsi="Arial" w:cstheme="majorBidi"/>
      <w:b/>
      <w:i w:val="0"/>
      <w:caps w:val="0"/>
      <w:smallCaps w:val="0"/>
      <w:strike w:val="0"/>
      <w:dstrike w:val="0"/>
      <w:vanish w:val="0"/>
      <w:color w:val="000000" w:themeColor="text1"/>
      <w:sz w:val="26"/>
      <w:szCs w:val="32"/>
      <w:vertAlign w:val="baseline"/>
    </w:rPr>
  </w:style>
  <w:style w:type="character" w:customStyle="1" w:styleId="Heading3Char">
    <w:name w:val="Heading 3 Char"/>
    <w:basedOn w:val="DefaultParagraphFont"/>
    <w:link w:val="Heading3"/>
    <w:uiPriority w:val="9"/>
    <w:rsid w:val="002442B7"/>
    <w:rPr>
      <w:rFonts w:ascii="Arial" w:eastAsiaTheme="majorEastAsia" w:hAnsi="Arial" w:cstheme="majorBidi"/>
      <w:b/>
      <w:i w:val="0"/>
      <w:caps w:val="0"/>
      <w:smallCaps w:val="0"/>
      <w:strike w:val="0"/>
      <w:dstrike w:val="0"/>
      <w:vanish w:val="0"/>
      <w:color w:val="000000" w:themeColor="text1"/>
      <w:sz w:val="20"/>
      <w:szCs w:val="28"/>
      <w:vertAlign w:val="baseline"/>
    </w:rPr>
  </w:style>
  <w:style w:type="paragraph" w:customStyle="1" w:styleId="CalloutQuote">
    <w:name w:val="Callout/Quote"/>
    <w:basedOn w:val="Bullet1"/>
    <w:qFormat/>
    <w:rsid w:val="008B7DD8"/>
    <w:pPr>
      <w:numPr>
        <w:numId w:val="0"/>
      </w:numPr>
      <w:pBdr>
        <w:top w:val="single" w:sz="2" w:space="9" w:color="CC0000"/>
        <w:bottom w:val="single" w:sz="2" w:space="12" w:color="CC0000"/>
      </w:pBdr>
      <w:spacing w:before="240" w:after="240" w:line="480" w:lineRule="exact"/>
      <w:ind w:right="72"/>
    </w:pPr>
    <w:rPr>
      <w:rFonts w:ascii="Arial" w:hAnsi="Arial" w:cs="Arial"/>
      <w:color w:val="CC0000"/>
      <w:sz w:val="32"/>
      <w:szCs w:val="32"/>
    </w:rPr>
  </w:style>
  <w:style w:type="character" w:customStyle="1" w:styleId="CalloutQuoteattribute">
    <w:name w:val="Callout/Quote attribute"/>
    <w:basedOn w:val="DefaultParagraphFont"/>
    <w:uiPriority w:val="1"/>
    <w:qFormat/>
    <w:rsid w:val="001F6822"/>
    <w:rPr>
      <w:rFonts w:ascii="Arial" w:hAnsi="Arial"/>
      <w:b/>
      <w:bCs/>
      <w:i w:val="0"/>
      <w:caps w:val="0"/>
      <w:smallCaps w:val="0"/>
      <w:strike w:val="0"/>
      <w:dstrike w:val="0"/>
      <w:vanish w:val="0"/>
      <w:color w:val="CC0000"/>
      <w:sz w:val="22"/>
      <w:bdr w:val="none" w:sz="0" w:space="0" w:color="auto"/>
      <w:vertAlign w:val="baseline"/>
    </w:rPr>
  </w:style>
  <w:style w:type="paragraph" w:styleId="Footer">
    <w:name w:val="footer"/>
    <w:basedOn w:val="Normal"/>
    <w:link w:val="FooterChar"/>
    <w:uiPriority w:val="99"/>
    <w:unhideWhenUsed/>
    <w:rsid w:val="00936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0FB"/>
    <w:rPr>
      <w:rFonts w:ascii="Palatino" w:eastAsiaTheme="minorEastAsia" w:hAnsi="Palatino"/>
      <w:b w:val="0"/>
      <w:i w:val="0"/>
      <w:caps w:val="0"/>
      <w:smallCaps w:val="0"/>
      <w:strike w:val="0"/>
      <w:dstrike w:val="0"/>
      <w:vanish w:val="0"/>
      <w:color w:val="000000" w:themeColor="text1"/>
      <w:sz w:val="20"/>
      <w:vertAlign w:val="baseline"/>
    </w:rPr>
  </w:style>
  <w:style w:type="character" w:styleId="Hyperlink">
    <w:name w:val="Hyperlink"/>
    <w:basedOn w:val="DefaultParagraphFont"/>
    <w:uiPriority w:val="99"/>
    <w:unhideWhenUsed/>
    <w:rsid w:val="00635A3C"/>
    <w:rPr>
      <w:rFonts w:ascii="Palatino" w:hAnsi="Palatino"/>
      <w:b w:val="0"/>
      <w:i w:val="0"/>
      <w:caps w:val="0"/>
      <w:smallCaps w:val="0"/>
      <w:strike w:val="0"/>
      <w:dstrike w:val="0"/>
      <w:vanish w:val="0"/>
      <w:color w:val="0000FF"/>
      <w:sz w:val="20"/>
      <w:u w:val="single"/>
      <w:vertAlign w:val="baseline"/>
    </w:rPr>
  </w:style>
  <w:style w:type="character" w:styleId="FollowedHyperlink">
    <w:name w:val="FollowedHyperlink"/>
    <w:basedOn w:val="DefaultParagraphFont"/>
    <w:uiPriority w:val="99"/>
    <w:semiHidden/>
    <w:unhideWhenUsed/>
    <w:rsid w:val="00635A3C"/>
    <w:rPr>
      <w:rFonts w:ascii="Palatino" w:hAnsi="Palatino"/>
      <w:b w:val="0"/>
      <w:i w:val="0"/>
      <w:caps w:val="0"/>
      <w:smallCaps w:val="0"/>
      <w:strike w:val="0"/>
      <w:dstrike w:val="0"/>
      <w:vanish w:val="0"/>
      <w:color w:val="96607D" w:themeColor="followedHyperlink"/>
      <w:sz w:val="20"/>
      <w:u w:val="single"/>
      <w:vertAlign w:val="baseline"/>
    </w:rPr>
  </w:style>
  <w:style w:type="paragraph" w:styleId="Header">
    <w:name w:val="header"/>
    <w:basedOn w:val="Normal"/>
    <w:link w:val="HeaderChar"/>
    <w:uiPriority w:val="99"/>
    <w:unhideWhenUsed/>
    <w:rsid w:val="000C3F1E"/>
    <w:pPr>
      <w:tabs>
        <w:tab w:val="center" w:pos="4680"/>
        <w:tab w:val="right" w:pos="9360"/>
      </w:tabs>
      <w:spacing w:after="0" w:line="240" w:lineRule="auto"/>
    </w:pPr>
  </w:style>
  <w:style w:type="paragraph" w:customStyle="1" w:styleId="Bullet1">
    <w:name w:val="Bullet 1"/>
    <w:basedOn w:val="Normal"/>
    <w:qFormat/>
    <w:rsid w:val="0046292A"/>
    <w:pPr>
      <w:numPr>
        <w:numId w:val="3"/>
      </w:numPr>
      <w:tabs>
        <w:tab w:val="left" w:pos="1800"/>
      </w:tabs>
      <w:spacing w:after="240" w:line="300" w:lineRule="exact"/>
      <w:ind w:left="288" w:right="288" w:hanging="288"/>
      <w:contextualSpacing/>
    </w:pPr>
    <w:rPr>
      <w:rFonts w:ascii="Georgia Pro" w:hAnsi="Georgia Pro" w:cs="Times New Roman (Body CS)"/>
      <w:color w:val="000000" w:themeColor="text1"/>
      <w:sz w:val="20"/>
      <w:szCs w:val="20"/>
    </w:rPr>
  </w:style>
  <w:style w:type="numbering" w:customStyle="1" w:styleId="CurrentList1">
    <w:name w:val="Current List1"/>
    <w:uiPriority w:val="99"/>
    <w:rsid w:val="002442B7"/>
    <w:pPr>
      <w:numPr>
        <w:numId w:val="4"/>
      </w:numPr>
    </w:pPr>
  </w:style>
  <w:style w:type="numbering" w:customStyle="1" w:styleId="CurrentList2">
    <w:name w:val="Current List2"/>
    <w:uiPriority w:val="99"/>
    <w:rsid w:val="00AF07EF"/>
    <w:pPr>
      <w:numPr>
        <w:numId w:val="5"/>
      </w:numPr>
    </w:pPr>
  </w:style>
  <w:style w:type="paragraph" w:customStyle="1" w:styleId="Bullet2">
    <w:name w:val="Bullet 2"/>
    <w:basedOn w:val="Bullet1"/>
    <w:qFormat/>
    <w:rsid w:val="0046292A"/>
    <w:pPr>
      <w:numPr>
        <w:numId w:val="7"/>
      </w:numPr>
      <w:tabs>
        <w:tab w:val="num" w:pos="360"/>
      </w:tabs>
      <w:spacing w:after="0" w:line="300" w:lineRule="exact"/>
      <w:ind w:left="662" w:right="331" w:hanging="331"/>
      <w:contextualSpacing/>
    </w:pPr>
  </w:style>
  <w:style w:type="numbering" w:customStyle="1" w:styleId="CurrentList3">
    <w:name w:val="Current List3"/>
    <w:uiPriority w:val="99"/>
    <w:rsid w:val="00AF07EF"/>
    <w:pPr>
      <w:numPr>
        <w:numId w:val="6"/>
      </w:numPr>
    </w:pPr>
  </w:style>
  <w:style w:type="paragraph" w:customStyle="1" w:styleId="Bullet3">
    <w:name w:val="Bullet 3"/>
    <w:basedOn w:val="Bullet2"/>
    <w:qFormat/>
    <w:rsid w:val="0046292A"/>
    <w:pPr>
      <w:numPr>
        <w:numId w:val="9"/>
      </w:numPr>
      <w:tabs>
        <w:tab w:val="clear" w:pos="720"/>
        <w:tab w:val="clear" w:pos="1800"/>
        <w:tab w:val="num" w:pos="432"/>
      </w:tabs>
      <w:spacing w:after="0" w:line="300" w:lineRule="exact"/>
      <w:ind w:left="936" w:right="677" w:hanging="259"/>
      <w:contextualSpacing/>
    </w:pPr>
  </w:style>
  <w:style w:type="numbering" w:customStyle="1" w:styleId="CurrentList4">
    <w:name w:val="Current List4"/>
    <w:uiPriority w:val="99"/>
    <w:rsid w:val="00AF07EF"/>
    <w:pPr>
      <w:numPr>
        <w:numId w:val="8"/>
      </w:numPr>
    </w:pPr>
  </w:style>
  <w:style w:type="paragraph" w:customStyle="1" w:styleId="Charttitle">
    <w:name w:val="Chart title"/>
    <w:basedOn w:val="Normal"/>
    <w:qFormat/>
    <w:rsid w:val="004D5A0A"/>
    <w:pPr>
      <w:snapToGrid w:val="0"/>
      <w:spacing w:after="547" w:line="300" w:lineRule="exact"/>
    </w:pPr>
    <w:rPr>
      <w:rFonts w:ascii="Arial" w:hAnsi="Arial" w:cs="Times New Roman (Body CS)"/>
      <w:color w:val="000000" w:themeColor="text1"/>
      <w:sz w:val="20"/>
    </w:rPr>
  </w:style>
  <w:style w:type="character" w:customStyle="1" w:styleId="Chart">
    <w:name w:val="Chart #"/>
    <w:basedOn w:val="DefaultParagraphFont"/>
    <w:uiPriority w:val="1"/>
    <w:qFormat/>
    <w:rsid w:val="005C7917"/>
    <w:rPr>
      <w:rFonts w:ascii="Arial" w:hAnsi="Arial"/>
      <w:b/>
      <w:i w:val="0"/>
      <w:caps w:val="0"/>
      <w:smallCaps w:val="0"/>
      <w:strike w:val="0"/>
      <w:dstrike w:val="0"/>
      <w:vanish w:val="0"/>
      <w:color w:val="CC0000"/>
      <w:sz w:val="20"/>
      <w:vertAlign w:val="baseline"/>
    </w:rPr>
  </w:style>
  <w:style w:type="paragraph" w:customStyle="1" w:styleId="Chartsource">
    <w:name w:val="Chart source"/>
    <w:basedOn w:val="Charttitle"/>
    <w:qFormat/>
    <w:rsid w:val="004D5A0A"/>
    <w:pPr>
      <w:spacing w:before="360" w:line="180" w:lineRule="exact"/>
    </w:pPr>
    <w:rPr>
      <w:color w:val="666666"/>
      <w:sz w:val="14"/>
    </w:rPr>
  </w:style>
  <w:style w:type="paragraph" w:customStyle="1" w:styleId="Contents">
    <w:name w:val="Contents"/>
    <w:basedOn w:val="Normal"/>
    <w:qFormat/>
    <w:rsid w:val="001F6822"/>
    <w:pPr>
      <w:spacing w:after="540" w:line="480" w:lineRule="exact"/>
    </w:pPr>
    <w:rPr>
      <w:rFonts w:ascii="Arial Black" w:hAnsi="Arial Black" w:cs="Arial"/>
      <w:b/>
      <w:bCs/>
      <w:color w:val="CC0000"/>
      <w:sz w:val="36"/>
      <w:szCs w:val="36"/>
    </w:rPr>
  </w:style>
  <w:style w:type="paragraph" w:customStyle="1" w:styleId="Contents1">
    <w:name w:val="Contents 1"/>
    <w:basedOn w:val="Normal"/>
    <w:qFormat/>
    <w:rsid w:val="001F6822"/>
    <w:pPr>
      <w:tabs>
        <w:tab w:val="right" w:leader="dot" w:pos="9360"/>
      </w:tabs>
      <w:spacing w:before="300" w:after="180" w:line="400" w:lineRule="exact"/>
    </w:pPr>
    <w:rPr>
      <w:rFonts w:ascii="Arial" w:hAnsi="Arial" w:cs="Arial"/>
      <w:color w:val="CC0000"/>
    </w:rPr>
  </w:style>
  <w:style w:type="paragraph" w:customStyle="1" w:styleId="Contents2">
    <w:name w:val="Contents 2"/>
    <w:basedOn w:val="Contents1"/>
    <w:qFormat/>
    <w:rsid w:val="003C777A"/>
    <w:pPr>
      <w:spacing w:before="0" w:after="120" w:line="300" w:lineRule="exact"/>
    </w:pPr>
    <w:rPr>
      <w:color w:val="000000" w:themeColor="text1"/>
    </w:rPr>
  </w:style>
  <w:style w:type="paragraph" w:customStyle="1" w:styleId="Contents3">
    <w:name w:val="Contents 3"/>
    <w:basedOn w:val="Contents2"/>
    <w:qFormat/>
    <w:rsid w:val="003C777A"/>
    <w:pPr>
      <w:numPr>
        <w:numId w:val="10"/>
      </w:numPr>
    </w:pPr>
    <w:rPr>
      <w:sz w:val="20"/>
    </w:rPr>
  </w:style>
  <w:style w:type="character" w:customStyle="1" w:styleId="HeaderChar">
    <w:name w:val="Header Char"/>
    <w:basedOn w:val="DefaultParagraphFont"/>
    <w:link w:val="Header"/>
    <w:uiPriority w:val="99"/>
    <w:rsid w:val="000C3F1E"/>
    <w:rPr>
      <w:rFonts w:ascii="Palatino" w:eastAsiaTheme="minorEastAsia" w:hAnsi="Palatino"/>
      <w:b w:val="0"/>
      <w:i w:val="0"/>
      <w:caps w:val="0"/>
      <w:smallCaps w:val="0"/>
      <w:strike w:val="0"/>
      <w:dstrike w:val="0"/>
      <w:vanish w:val="0"/>
      <w:color w:val="000000" w:themeColor="text1"/>
      <w:sz w:val="20"/>
      <w:vertAlign w:val="baseline"/>
    </w:rPr>
  </w:style>
  <w:style w:type="paragraph" w:customStyle="1" w:styleId="Runningdoctitle">
    <w:name w:val="Running doc title"/>
    <w:basedOn w:val="Normal"/>
    <w:qFormat/>
    <w:rsid w:val="000C3F1E"/>
    <w:pPr>
      <w:spacing w:before="200" w:after="0" w:line="240" w:lineRule="exact"/>
      <w:jc w:val="center"/>
    </w:pPr>
    <w:rPr>
      <w:rFonts w:ascii="Arial" w:hAnsi="Arial" w:cs="Arial"/>
      <w:sz w:val="18"/>
      <w:szCs w:val="18"/>
    </w:rPr>
  </w:style>
  <w:style w:type="paragraph" w:customStyle="1" w:styleId="PageNumber1">
    <w:name w:val="Page Number1"/>
    <w:basedOn w:val="Normal"/>
    <w:qFormat/>
    <w:rsid w:val="000C3F1E"/>
    <w:pPr>
      <w:spacing w:before="100"/>
      <w:jc w:val="center"/>
    </w:pPr>
    <w:rPr>
      <w:rFonts w:ascii="Arial" w:hAnsi="Arial" w:cs="Arial"/>
      <w:sz w:val="18"/>
      <w:szCs w:val="18"/>
    </w:rPr>
  </w:style>
  <w:style w:type="paragraph" w:customStyle="1" w:styleId="Headline">
    <w:name w:val="Headline"/>
    <w:basedOn w:val="Normal"/>
    <w:qFormat/>
    <w:rsid w:val="00D415EE"/>
    <w:pPr>
      <w:adjustRightInd w:val="0"/>
      <w:spacing w:after="432" w:line="720" w:lineRule="exact"/>
    </w:pPr>
    <w:rPr>
      <w:rFonts w:ascii="Arial Black" w:hAnsi="Arial Black" w:cs="Arial"/>
      <w:b/>
      <w:bCs/>
      <w:sz w:val="60"/>
      <w:szCs w:val="60"/>
    </w:rPr>
  </w:style>
  <w:style w:type="paragraph" w:customStyle="1" w:styleId="Subhead">
    <w:name w:val="Subhead"/>
    <w:basedOn w:val="Normal"/>
    <w:qFormat/>
    <w:rsid w:val="0046292A"/>
    <w:pPr>
      <w:spacing w:after="240" w:line="540" w:lineRule="exact"/>
    </w:pPr>
    <w:rPr>
      <w:rFonts w:ascii="Georgia Pro" w:hAnsi="Georgia Pro" w:cs="Arial"/>
      <w:color w:val="000000" w:themeColor="text1"/>
      <w:sz w:val="44"/>
      <w:szCs w:val="44"/>
    </w:rPr>
  </w:style>
  <w:style w:type="paragraph" w:customStyle="1" w:styleId="Byline">
    <w:name w:val="Byline"/>
    <w:basedOn w:val="Normal"/>
    <w:qFormat/>
    <w:rsid w:val="00AC530F"/>
    <w:pPr>
      <w:spacing w:after="0" w:line="420" w:lineRule="exact"/>
    </w:pPr>
    <w:rPr>
      <w:rFonts w:ascii="Arial" w:hAnsi="Arial" w:cs="Arial"/>
      <w:b/>
      <w:bCs/>
      <w:sz w:val="32"/>
      <w:szCs w:val="32"/>
    </w:rPr>
  </w:style>
  <w:style w:type="numbering" w:customStyle="1" w:styleId="CurrentList5">
    <w:name w:val="Current List5"/>
    <w:uiPriority w:val="99"/>
    <w:rsid w:val="0046292A"/>
    <w:pPr>
      <w:numPr>
        <w:numId w:val="11"/>
      </w:numPr>
    </w:pPr>
  </w:style>
  <w:style w:type="paragraph" w:customStyle="1" w:styleId="Bodycopy">
    <w:name w:val="Body copy"/>
    <w:basedOn w:val="Normal"/>
    <w:qFormat/>
    <w:rsid w:val="00900C58"/>
    <w:pPr>
      <w:shd w:val="clear" w:color="auto" w:fill="FEFEFE"/>
      <w:spacing w:after="240" w:line="300" w:lineRule="exact"/>
      <w:outlineLvl w:val="2"/>
    </w:pPr>
    <w:rPr>
      <w:rFonts w:ascii="Georgia Pro" w:hAnsi="Georgia Pro"/>
      <w:color w:val="000000" w:themeColor="text1"/>
      <w:sz w:val="20"/>
    </w:rPr>
  </w:style>
  <w:style w:type="paragraph" w:customStyle="1" w:styleId="TableParagraph">
    <w:name w:val="Table Paragraph"/>
    <w:basedOn w:val="Normal"/>
    <w:uiPriority w:val="1"/>
    <w:qFormat/>
    <w:rsid w:val="003E4FED"/>
    <w:pPr>
      <w:widowControl w:val="0"/>
      <w:autoSpaceDE w:val="0"/>
      <w:autoSpaceDN w:val="0"/>
      <w:spacing w:before="200" w:after="120" w:line="240" w:lineRule="auto"/>
    </w:pPr>
    <w:rPr>
      <w:rFonts w:ascii="Arial" w:eastAsia="Arial" w:hAnsi="Arial" w:cs="Arial"/>
      <w:b/>
      <w:color w:val="000000" w:themeColor="text1"/>
      <w:kern w:val="0"/>
      <w:szCs w:val="22"/>
      <w14:ligatures w14:val="none"/>
    </w:rPr>
  </w:style>
  <w:style w:type="paragraph" w:styleId="ListBullet">
    <w:name w:val="List Bullet"/>
    <w:basedOn w:val="Normal"/>
    <w:uiPriority w:val="99"/>
    <w:semiHidden/>
    <w:unhideWhenUsed/>
    <w:rsid w:val="00E80C2D"/>
    <w:pPr>
      <w:numPr>
        <w:numId w:val="2"/>
      </w:numPr>
      <w:contextualSpacing/>
    </w:pPr>
  </w:style>
  <w:style w:type="paragraph" w:customStyle="1" w:styleId="Tableheader">
    <w:name w:val="Table header"/>
    <w:basedOn w:val="Normal"/>
    <w:qFormat/>
    <w:rsid w:val="003E4FED"/>
    <w:pPr>
      <w:widowControl w:val="0"/>
      <w:autoSpaceDE w:val="0"/>
      <w:autoSpaceDN w:val="0"/>
      <w:spacing w:before="200" w:after="120" w:line="240" w:lineRule="auto"/>
    </w:pPr>
    <w:rPr>
      <w:rFonts w:ascii="Arial" w:eastAsia="Arial" w:hAnsi="Arial" w:cs="Arial"/>
      <w:b/>
      <w:caps/>
      <w:color w:val="FFFFFF"/>
      <w:kern w:val="0"/>
      <w:sz w:val="18"/>
      <w:szCs w:val="22"/>
      <w14:ligatures w14:val="none"/>
    </w:rPr>
  </w:style>
  <w:style w:type="paragraph" w:customStyle="1" w:styleId="Tablesection">
    <w:name w:val="Table section"/>
    <w:basedOn w:val="TableParagraph"/>
    <w:qFormat/>
    <w:rsid w:val="003E4FED"/>
    <w:pPr>
      <w:shd w:val="clear" w:color="auto" w:fill="F9F9F9"/>
    </w:pPr>
    <w:rPr>
      <w:caps/>
      <w:sz w:val="18"/>
    </w:rPr>
  </w:style>
  <w:style w:type="paragraph" w:customStyle="1" w:styleId="Tablecontent">
    <w:name w:val="Table content"/>
    <w:basedOn w:val="TableParagraph"/>
    <w:qFormat/>
    <w:rsid w:val="003E4FED"/>
    <w:rPr>
      <w:b w:val="0"/>
      <w:sz w:val="20"/>
    </w:rPr>
  </w:style>
  <w:style w:type="paragraph" w:customStyle="1" w:styleId="Titleundericon">
    <w:name w:val="Title under icon"/>
    <w:basedOn w:val="Heading2"/>
    <w:qFormat/>
    <w:rsid w:val="001544BD"/>
    <w:pPr>
      <w:spacing w:before="200" w:after="100"/>
    </w:pPr>
  </w:style>
  <w:style w:type="paragraph" w:customStyle="1" w:styleId="Legal">
    <w:name w:val="Legal"/>
    <w:basedOn w:val="ListBullet"/>
    <w:qFormat/>
    <w:rsid w:val="00E80C2D"/>
    <w:pPr>
      <w:numPr>
        <w:numId w:val="0"/>
      </w:numPr>
      <w:spacing w:line="220" w:lineRule="exact"/>
    </w:pPr>
    <w:rPr>
      <w:rFonts w:ascii="Arial" w:hAnsi="Arial" w:cs="Arial"/>
      <w:sz w:val="14"/>
      <w:szCs w:val="14"/>
    </w:rPr>
  </w:style>
  <w:style w:type="paragraph" w:customStyle="1" w:styleId="Titleunderimage">
    <w:name w:val="Title under image"/>
    <w:basedOn w:val="Heading2"/>
    <w:qFormat/>
    <w:rsid w:val="001544BD"/>
    <w:pPr>
      <w:spacing w:before="200" w:after="100"/>
    </w:pPr>
  </w:style>
  <w:style w:type="table" w:customStyle="1" w:styleId="BainTable">
    <w:name w:val="Bain Table"/>
    <w:basedOn w:val="TableNormal"/>
    <w:uiPriority w:val="99"/>
    <w:pPr>
      <w:spacing w:after="0" w:line="240" w:lineRule="auto"/>
    </w:pPr>
    <w:rPr>
      <w:rFonts w:ascii="Arial" w:hAnsi="Arial" w:cs="Arial"/>
      <w:color w:val="000000"/>
      <w:sz w:val="20"/>
      <w:szCs w:val="20"/>
    </w:rPr>
    <w:tblPr>
      <w:tblBorders>
        <w:insideH w:val="single" w:sz="4" w:space="0" w:color="D6D6D6"/>
      </w:tblBorders>
      <w:tblCellMar>
        <w:top w:w="60" w:type="dxa"/>
        <w:left w:w="120" w:type="dxa"/>
        <w:bottom w:w="60" w:type="dxa"/>
        <w:right w:w="120" w:type="dxa"/>
      </w:tblCellMar>
    </w:tblPr>
    <w:tblStylePr w:type="firstRow">
      <w:rPr>
        <w:b/>
        <w:color w:val="FFFFFF"/>
      </w:rPr>
      <w:tcPr>
        <w:shd w:val="clear" w:color="auto" w:fill="CC0000"/>
      </w:tcPr>
    </w:tblStylePr>
    <w:tblStylePr w:type="firstCol">
      <w:rPr>
        <w:b/>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0" Type="http://schemas.openxmlformats.org/officeDocument/2006/relationships/image" Target="media/img_placeholder.png"/><Relationship Id="rId21" Type="http://schemas.openxmlformats.org/officeDocument/2006/relationships/image" Target="media/icon_placeholder.png"/><Relationship Id="rId22" Type="http://schemas.openxmlformats.org/officeDocument/2006/relationships/image" Target="media/icon_lines.emf"/><Relationship Id="rId23" Type="http://schemas.openxmlformats.org/officeDocument/2006/relationships/footer" Target="footer4.xml"/><Relationship Id="rId24"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r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TSG Consultant Productivity</dc:creator>
  <cp:keywords/>
  <dc:description/>
  <cp:lastModifiedBy>TSG Consultant Productivity</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