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Weekly Status Report: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of: </w:t>
      </w:r>
      <w:r w:rsidDel="00000000" w:rsidR="00000000" w:rsidRPr="00000000">
        <w:rPr>
          <w:sz w:val="28"/>
          <w:szCs w:val="28"/>
          <w:rtl w:val="0"/>
        </w:rPr>
        <w:t xml:space="preserve">May 30th to June 4th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prepared by:</w:t>
      </w:r>
      <w:r w:rsidDel="00000000" w:rsidR="00000000" w:rsidRPr="00000000">
        <w:rPr>
          <w:sz w:val="28"/>
          <w:szCs w:val="28"/>
          <w:rtl w:val="0"/>
        </w:rPr>
        <w:t xml:space="preserve"> Hammud Haq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itemized activities planned for this week:</w:t>
      </w:r>
    </w:p>
    <w:tbl>
      <w:tblPr>
        <w:tblStyle w:val="Table1"/>
        <w:bidiVisual w:val="0"/>
        <w:tblW w:w="938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520"/>
        <w:gridCol w:w="2228"/>
        <w:gridCol w:w="1870"/>
        <w:gridCol w:w="1870"/>
        <w:tblGridChange w:id="0">
          <w:tblGrid>
            <w:gridCol w:w="895"/>
            <w:gridCol w:w="2520"/>
            <w:gridCol w:w="2228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Activity Description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Responsible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Completion Status (%)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 for delay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Finalize .h and txt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Hammud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75%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Lab04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BST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Alex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35%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Figure out Hash Table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15%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itemized activities planned for next week:</w:t>
      </w:r>
    </w:p>
    <w:tbl>
      <w:tblPr>
        <w:tblStyle w:val="Table2"/>
        <w:bidiVisual w:val="0"/>
        <w:tblW w:w="93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520"/>
        <w:gridCol w:w="2385"/>
        <w:gridCol w:w="1725"/>
        <w:gridCol w:w="1870"/>
        <w:tblGridChange w:id="0">
          <w:tblGrid>
            <w:gridCol w:w="895"/>
            <w:gridCol w:w="2520"/>
            <w:gridCol w:w="2385"/>
            <w:gridCol w:w="1725"/>
            <w:gridCol w:w="1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Activity Description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Responsible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Completion Expected (%)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 for multi-week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add and delete functions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Hammud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 and coordinating project status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an idea for the finalized BST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Alex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70%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readying HashTable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35%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