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sz w:val="44"/>
        </w:rPr>
        <w:t>AI-GWRI Codebook Version 1.0</w:t>
      </w:r>
    </w:p>
    <w:p>
      <w:pPr>
        <w:spacing w:after="160" w:line="276" w:lineRule="auto"/>
        <w:jc w:val="center"/>
      </w:pPr>
      <w:r>
        <w:rPr>
          <w:b/>
          <w:sz w:val="30"/>
        </w:rPr>
        <w:t>AI-based Greenwashing Risk Index</w:t>
      </w:r>
    </w:p>
    <w:p>
      <w:pPr>
        <w:spacing w:after="360" w:line="276" w:lineRule="auto"/>
        <w:jc w:val="center"/>
      </w:pPr>
      <w:r>
        <w:rPr>
          <w:b w:val="0"/>
          <w:sz w:val="26"/>
        </w:rPr>
        <w:t>永續報告書漂綠風險之 LLM／人工編碼操作手冊</w:t>
      </w:r>
    </w:p>
    <w:p>
      <w:pPr>
        <w:spacing w:after="80" w:line="276" w:lineRule="auto"/>
        <w:jc w:val="center"/>
      </w:pPr>
      <w:r>
        <w:rPr>
          <w:b w:val="0"/>
          <w:sz w:val="21"/>
        </w:rPr>
        <w:t>適用對象：企業永續報告書、ESG 報告書、CSR 報告書</w:t>
      </w:r>
    </w:p>
    <w:p>
      <w:pPr>
        <w:spacing w:after="80" w:line="276" w:lineRule="auto"/>
        <w:jc w:val="center"/>
      </w:pPr>
      <w:r>
        <w:rPr>
          <w:b w:val="0"/>
          <w:sz w:val="21"/>
        </w:rPr>
        <w:t>評分單位：公司 × 年度</w:t>
      </w:r>
    </w:p>
    <w:p>
      <w:pPr>
        <w:spacing w:after="80" w:line="276" w:lineRule="auto"/>
        <w:jc w:val="center"/>
      </w:pPr>
      <w:r>
        <w:rPr>
          <w:b/>
          <w:sz w:val="22"/>
        </w:rPr>
        <w:t>核心原則：Claim → Evidence → Action → Outcome → Verification</w:t>
      </w:r>
    </w:p>
    <w:p>
      <w:r>
        <w:br w:type="page"/>
      </w:r>
    </w:p>
    <w:p>
      <w:pPr>
        <w:pStyle w:val="Heading1"/>
      </w:pPr>
      <w:r>
        <w:t>一、Codebook 使用目的與基本原則</w:t>
      </w:r>
    </w:p>
    <w:p>
      <w:pPr>
        <w:spacing w:after="80" w:line="276" w:lineRule="auto"/>
      </w:pPr>
      <w:r>
        <w:rPr>
          <w:b w:val="0"/>
        </w:rPr>
        <w:t>本 Codebook 將 AI-GWRI 的 28 個題項轉化為可重複執行的 evidence-based coding 規則，可同時支援大型語言模型（LLM）自動評分與人工 coder 進行內容分析。核心概念來自 greenwashing 的 decoupling、selective disclosure、symbolic–substantive actions、揭露品質與 NLP／impression-management 文獻（Walker &amp; Wan, 2012; Marquis et al., 2016; Michelon et al., 2015; Lagasio, 2024; Gorovaia &amp; Makrominas, 2025; Lublóy et al., 2025）。</w:t>
      </w:r>
    </w:p>
    <w:p>
      <w:pPr>
        <w:spacing w:after="80" w:line="276" w:lineRule="auto"/>
      </w:pPr>
      <w:r>
        <w:rPr>
          <w:b w:val="0"/>
        </w:rPr>
        <w:t>評分時不得僅依語氣、單一句子或關鍵字判斷。LLM 必須先抽取環境宣稱，再搜尋相關數據、行動、目標、結果、負面資訊與第三方驗證，最後依規則評分。</w:t>
      </w:r>
    </w:p>
    <w:p>
      <w:pPr>
        <w:spacing w:after="80" w:line="276" w:lineRule="auto"/>
      </w:pPr>
      <w:r>
        <w:rPr>
          <w:b w:val="0"/>
        </w:rPr>
        <w:t>原則一：每一題都必須有『原文證據＋頁碼』；若無法定位，應降低信心或標示 NA。</w:t>
      </w:r>
    </w:p>
    <w:p>
      <w:pPr>
        <w:spacing w:after="80" w:line="276" w:lineRule="auto"/>
      </w:pPr>
      <w:r>
        <w:rPr>
          <w:b w:val="0"/>
        </w:rPr>
        <w:t>原則二：0 分代表『有充分證據顯示低風險』，不是『報告書沒寫』。資訊不足時使用 NA。</w:t>
      </w:r>
    </w:p>
    <w:p>
      <w:pPr>
        <w:spacing w:after="80" w:line="276" w:lineRule="auto"/>
      </w:pPr>
      <w:r>
        <w:rPr>
          <w:b w:val="0"/>
        </w:rPr>
        <w:t>原則三：公司沒有某項重大環境議題時，不應因缺乏該議題資訊自動扣分；應先判斷 materiality。</w:t>
      </w:r>
    </w:p>
    <w:p>
      <w:pPr>
        <w:spacing w:after="80" w:line="276" w:lineRule="auto"/>
      </w:pPr>
      <w:r>
        <w:rPr>
          <w:b w:val="0"/>
        </w:rPr>
        <w:t>原則四：評分應以公司年度為單位，但若題項涉及目標達成、跨年重複或揭露一致性，可使用前 1–3 年報告輔助判斷。</w:t>
      </w:r>
    </w:p>
    <w:p>
      <w:pPr>
        <w:spacing w:after="80" w:line="276" w:lineRule="auto"/>
      </w:pPr>
      <w:r>
        <w:rPr>
          <w:b w:val="0"/>
        </w:rPr>
        <w:t>原則五：LLM 應輸出可審核的結構化資料，不可只回傳最終分數。</w:t>
      </w:r>
    </w:p>
    <w:p>
      <w:pPr>
        <w:pStyle w:val="Heading1"/>
      </w:pPr>
      <w:r>
        <w:t>二、標準輸出欄位（LLM Evidence Schema）</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欄位</w:t>
            </w:r>
          </w:p>
        </w:tc>
        <w:tc>
          <w:tcPr>
            <w:tcW w:type="dxa" w:w="4986"/>
            <w:vAlign w:val="top"/>
            <w:shd w:fill="D9EAF7"/>
          </w:tcPr>
          <w:p>
            <w:pPr>
              <w:spacing w:after="0" w:line="240" w:lineRule="auto"/>
            </w:pPr>
            <w:r/>
            <w:r>
              <w:rPr>
                <w:rFonts w:ascii="Arial" w:hAnsi="Arial"/>
                <w:b/>
                <w:sz w:val="16"/>
              </w:rPr>
              <w:t>說明</w:t>
            </w:r>
          </w:p>
        </w:tc>
      </w:tr>
      <w:tr>
        <w:tc>
          <w:tcPr>
            <w:tcW w:type="dxa" w:w="4986"/>
            <w:vAlign w:val="top"/>
          </w:tcPr>
          <w:p>
            <w:pPr>
              <w:spacing w:after="0" w:line="240" w:lineRule="auto"/>
            </w:pPr>
            <w:r/>
            <w:r>
              <w:rPr>
                <w:rFonts w:ascii="Arial" w:hAnsi="Arial"/>
                <w:b w:val="0"/>
                <w:sz w:val="16"/>
              </w:rPr>
              <w:t>company</w:t>
            </w:r>
          </w:p>
        </w:tc>
        <w:tc>
          <w:tcPr>
            <w:tcW w:type="dxa" w:w="4986"/>
            <w:vAlign w:val="top"/>
          </w:tcPr>
          <w:p>
            <w:pPr>
              <w:spacing w:after="0" w:line="240" w:lineRule="auto"/>
            </w:pPr>
            <w:r/>
            <w:r>
              <w:rPr>
                <w:rFonts w:ascii="Arial" w:hAnsi="Arial"/>
                <w:b w:val="0"/>
                <w:sz w:val="16"/>
              </w:rPr>
              <w:t>公司名稱</w:t>
            </w:r>
          </w:p>
        </w:tc>
      </w:tr>
      <w:tr>
        <w:tc>
          <w:tcPr>
            <w:tcW w:type="dxa" w:w="4986"/>
            <w:vAlign w:val="top"/>
          </w:tcPr>
          <w:p>
            <w:pPr>
              <w:spacing w:after="0" w:line="240" w:lineRule="auto"/>
            </w:pPr>
            <w:r/>
            <w:r>
              <w:rPr>
                <w:rFonts w:ascii="Arial" w:hAnsi="Arial"/>
                <w:b w:val="0"/>
                <w:sz w:val="16"/>
              </w:rPr>
              <w:t>report_year</w:t>
            </w:r>
          </w:p>
        </w:tc>
        <w:tc>
          <w:tcPr>
            <w:tcW w:type="dxa" w:w="4986"/>
            <w:vAlign w:val="top"/>
          </w:tcPr>
          <w:p>
            <w:pPr>
              <w:spacing w:after="0" w:line="240" w:lineRule="auto"/>
            </w:pPr>
            <w:r/>
            <w:r>
              <w:rPr>
                <w:rFonts w:ascii="Arial" w:hAnsi="Arial"/>
                <w:b w:val="0"/>
                <w:sz w:val="16"/>
              </w:rPr>
              <w:t>報告年度</w:t>
            </w:r>
          </w:p>
        </w:tc>
      </w:tr>
      <w:tr>
        <w:tc>
          <w:tcPr>
            <w:tcW w:type="dxa" w:w="4986"/>
            <w:vAlign w:val="top"/>
          </w:tcPr>
          <w:p>
            <w:pPr>
              <w:spacing w:after="0" w:line="240" w:lineRule="auto"/>
            </w:pPr>
            <w:r/>
            <w:r>
              <w:rPr>
                <w:rFonts w:ascii="Arial" w:hAnsi="Arial"/>
                <w:b w:val="0"/>
                <w:sz w:val="16"/>
              </w:rPr>
              <w:t>item_code</w:t>
            </w:r>
          </w:p>
        </w:tc>
        <w:tc>
          <w:tcPr>
            <w:tcW w:type="dxa" w:w="4986"/>
            <w:vAlign w:val="top"/>
          </w:tcPr>
          <w:p>
            <w:pPr>
              <w:spacing w:after="0" w:line="240" w:lineRule="auto"/>
            </w:pPr>
            <w:r/>
            <w:r>
              <w:rPr>
                <w:rFonts w:ascii="Arial" w:hAnsi="Arial"/>
                <w:b w:val="0"/>
                <w:sz w:val="16"/>
              </w:rPr>
              <w:t>題項代碼，例如 CEG1</w:t>
            </w:r>
          </w:p>
        </w:tc>
      </w:tr>
      <w:tr>
        <w:tc>
          <w:tcPr>
            <w:tcW w:type="dxa" w:w="4986"/>
            <w:vAlign w:val="top"/>
          </w:tcPr>
          <w:p>
            <w:pPr>
              <w:spacing w:after="0" w:line="240" w:lineRule="auto"/>
            </w:pPr>
            <w:r/>
            <w:r>
              <w:rPr>
                <w:rFonts w:ascii="Arial" w:hAnsi="Arial"/>
                <w:b w:val="0"/>
                <w:sz w:val="16"/>
              </w:rPr>
              <w:t>score</w:t>
            </w:r>
          </w:p>
        </w:tc>
        <w:tc>
          <w:tcPr>
            <w:tcW w:type="dxa" w:w="4986"/>
            <w:vAlign w:val="top"/>
          </w:tcPr>
          <w:p>
            <w:pPr>
              <w:spacing w:after="0" w:line="240" w:lineRule="auto"/>
            </w:pPr>
            <w:r/>
            <w:r>
              <w:rPr>
                <w:rFonts w:ascii="Arial" w:hAnsi="Arial"/>
                <w:b w:val="0"/>
                <w:sz w:val="16"/>
              </w:rPr>
              <w:t>0–4；若無法合理判斷則 NA</w:t>
            </w:r>
          </w:p>
        </w:tc>
      </w:tr>
      <w:tr>
        <w:tc>
          <w:tcPr>
            <w:tcW w:type="dxa" w:w="4986"/>
            <w:vAlign w:val="top"/>
          </w:tcPr>
          <w:p>
            <w:pPr>
              <w:spacing w:after="0" w:line="240" w:lineRule="auto"/>
            </w:pPr>
            <w:r/>
            <w:r>
              <w:rPr>
                <w:rFonts w:ascii="Arial" w:hAnsi="Arial"/>
                <w:b w:val="0"/>
                <w:sz w:val="16"/>
              </w:rPr>
              <w:t>confidence</w:t>
            </w:r>
          </w:p>
        </w:tc>
        <w:tc>
          <w:tcPr>
            <w:tcW w:type="dxa" w:w="4986"/>
            <w:vAlign w:val="top"/>
          </w:tcPr>
          <w:p>
            <w:pPr>
              <w:spacing w:after="0" w:line="240" w:lineRule="auto"/>
            </w:pPr>
            <w:r/>
            <w:r>
              <w:rPr>
                <w:rFonts w:ascii="Arial" w:hAnsi="Arial"/>
                <w:b w:val="0"/>
                <w:sz w:val="16"/>
              </w:rPr>
              <w:t>High / Medium / Low</w:t>
            </w:r>
          </w:p>
        </w:tc>
      </w:tr>
      <w:tr>
        <w:tc>
          <w:tcPr>
            <w:tcW w:type="dxa" w:w="4986"/>
            <w:vAlign w:val="top"/>
          </w:tcPr>
          <w:p>
            <w:pPr>
              <w:spacing w:after="0" w:line="240" w:lineRule="auto"/>
            </w:pPr>
            <w:r/>
            <w:r>
              <w:rPr>
                <w:rFonts w:ascii="Arial" w:hAnsi="Arial"/>
                <w:b w:val="0"/>
                <w:sz w:val="16"/>
              </w:rPr>
              <w:t>materiality_status</w:t>
            </w:r>
          </w:p>
        </w:tc>
        <w:tc>
          <w:tcPr>
            <w:tcW w:type="dxa" w:w="4986"/>
            <w:vAlign w:val="top"/>
          </w:tcPr>
          <w:p>
            <w:pPr>
              <w:spacing w:after="0" w:line="240" w:lineRule="auto"/>
            </w:pPr>
            <w:r/>
            <w:r>
              <w:rPr>
                <w:rFonts w:ascii="Arial" w:hAnsi="Arial"/>
                <w:b w:val="0"/>
                <w:sz w:val="16"/>
              </w:rPr>
              <w:t>Material / Non-material / Unclear</w:t>
            </w:r>
          </w:p>
        </w:tc>
      </w:tr>
      <w:tr>
        <w:tc>
          <w:tcPr>
            <w:tcW w:type="dxa" w:w="4986"/>
            <w:vAlign w:val="top"/>
          </w:tcPr>
          <w:p>
            <w:pPr>
              <w:spacing w:after="0" w:line="240" w:lineRule="auto"/>
            </w:pPr>
            <w:r/>
            <w:r>
              <w:rPr>
                <w:rFonts w:ascii="Arial" w:hAnsi="Arial"/>
                <w:b w:val="0"/>
                <w:sz w:val="16"/>
              </w:rPr>
              <w:t>evidence_page</w:t>
            </w:r>
          </w:p>
        </w:tc>
        <w:tc>
          <w:tcPr>
            <w:tcW w:type="dxa" w:w="4986"/>
            <w:vAlign w:val="top"/>
          </w:tcPr>
          <w:p>
            <w:pPr>
              <w:spacing w:after="0" w:line="240" w:lineRule="auto"/>
            </w:pPr>
            <w:r/>
            <w:r>
              <w:rPr>
                <w:rFonts w:ascii="Arial" w:hAnsi="Arial"/>
                <w:b w:val="0"/>
                <w:sz w:val="16"/>
              </w:rPr>
              <w:t>PDF 頁碼；可複數</w:t>
            </w:r>
          </w:p>
        </w:tc>
      </w:tr>
      <w:tr>
        <w:tc>
          <w:tcPr>
            <w:tcW w:type="dxa" w:w="4986"/>
            <w:vAlign w:val="top"/>
          </w:tcPr>
          <w:p>
            <w:pPr>
              <w:spacing w:after="0" w:line="240" w:lineRule="auto"/>
            </w:pPr>
            <w:r/>
            <w:r>
              <w:rPr>
                <w:rFonts w:ascii="Arial" w:hAnsi="Arial"/>
                <w:b w:val="0"/>
                <w:sz w:val="16"/>
              </w:rPr>
              <w:t>evidence_quote</w:t>
            </w:r>
          </w:p>
        </w:tc>
        <w:tc>
          <w:tcPr>
            <w:tcW w:type="dxa" w:w="4986"/>
            <w:vAlign w:val="top"/>
          </w:tcPr>
          <w:p>
            <w:pPr>
              <w:spacing w:after="0" w:line="240" w:lineRule="auto"/>
            </w:pPr>
            <w:r/>
            <w:r>
              <w:rPr>
                <w:rFonts w:ascii="Arial" w:hAnsi="Arial"/>
                <w:b w:val="0"/>
                <w:sz w:val="16"/>
              </w:rPr>
              <w:t>支持評分的原文摘錄；建議 1–3 段</w:t>
            </w:r>
          </w:p>
        </w:tc>
      </w:tr>
      <w:tr>
        <w:tc>
          <w:tcPr>
            <w:tcW w:type="dxa" w:w="4986"/>
            <w:vAlign w:val="top"/>
          </w:tcPr>
          <w:p>
            <w:pPr>
              <w:spacing w:after="0" w:line="240" w:lineRule="auto"/>
            </w:pPr>
            <w:r/>
            <w:r>
              <w:rPr>
                <w:rFonts w:ascii="Arial" w:hAnsi="Arial"/>
                <w:b w:val="0"/>
                <w:sz w:val="16"/>
              </w:rPr>
              <w:t>counter_evidence_page</w:t>
            </w:r>
          </w:p>
        </w:tc>
        <w:tc>
          <w:tcPr>
            <w:tcW w:type="dxa" w:w="4986"/>
            <w:vAlign w:val="top"/>
          </w:tcPr>
          <w:p>
            <w:pPr>
              <w:spacing w:after="0" w:line="240" w:lineRule="auto"/>
            </w:pPr>
            <w:r/>
            <w:r>
              <w:rPr>
                <w:rFonts w:ascii="Arial" w:hAnsi="Arial"/>
                <w:b w:val="0"/>
                <w:sz w:val="16"/>
              </w:rPr>
              <w:t>與初步判斷相反的證據頁碼</w:t>
            </w:r>
          </w:p>
        </w:tc>
      </w:tr>
      <w:tr>
        <w:tc>
          <w:tcPr>
            <w:tcW w:type="dxa" w:w="4986"/>
            <w:vAlign w:val="top"/>
          </w:tcPr>
          <w:p>
            <w:pPr>
              <w:spacing w:after="0" w:line="240" w:lineRule="auto"/>
            </w:pPr>
            <w:r/>
            <w:r>
              <w:rPr>
                <w:rFonts w:ascii="Arial" w:hAnsi="Arial"/>
                <w:b w:val="0"/>
                <w:sz w:val="16"/>
              </w:rPr>
              <w:t>counter_evidence_quote</w:t>
            </w:r>
          </w:p>
        </w:tc>
        <w:tc>
          <w:tcPr>
            <w:tcW w:type="dxa" w:w="4986"/>
            <w:vAlign w:val="top"/>
          </w:tcPr>
          <w:p>
            <w:pPr>
              <w:spacing w:after="0" w:line="240" w:lineRule="auto"/>
            </w:pPr>
            <w:r/>
            <w:r>
              <w:rPr>
                <w:rFonts w:ascii="Arial" w:hAnsi="Arial"/>
                <w:b w:val="0"/>
                <w:sz w:val="16"/>
              </w:rPr>
              <w:t>相反證據原文</w:t>
            </w:r>
          </w:p>
        </w:tc>
      </w:tr>
      <w:tr>
        <w:tc>
          <w:tcPr>
            <w:tcW w:type="dxa" w:w="4986"/>
            <w:vAlign w:val="top"/>
          </w:tcPr>
          <w:p>
            <w:pPr>
              <w:spacing w:after="0" w:line="240" w:lineRule="auto"/>
            </w:pPr>
            <w:r/>
            <w:r>
              <w:rPr>
                <w:rFonts w:ascii="Arial" w:hAnsi="Arial"/>
                <w:b w:val="0"/>
                <w:sz w:val="16"/>
              </w:rPr>
              <w:t>reasoning_summary</w:t>
            </w:r>
          </w:p>
        </w:tc>
        <w:tc>
          <w:tcPr>
            <w:tcW w:type="dxa" w:w="4986"/>
            <w:vAlign w:val="top"/>
          </w:tcPr>
          <w:p>
            <w:pPr>
              <w:spacing w:after="0" w:line="240" w:lineRule="auto"/>
            </w:pPr>
            <w:r/>
            <w:r>
              <w:rPr>
                <w:rFonts w:ascii="Arial" w:hAnsi="Arial"/>
                <w:b w:val="0"/>
                <w:sz w:val="16"/>
              </w:rPr>
              <w:t>不超過 100–150 字的判定理由</w:t>
            </w:r>
          </w:p>
        </w:tc>
      </w:tr>
      <w:tr>
        <w:tc>
          <w:tcPr>
            <w:tcW w:type="dxa" w:w="4986"/>
            <w:vAlign w:val="top"/>
          </w:tcPr>
          <w:p>
            <w:pPr>
              <w:spacing w:after="0" w:line="240" w:lineRule="auto"/>
            </w:pPr>
            <w:r/>
            <w:r>
              <w:rPr>
                <w:rFonts w:ascii="Arial" w:hAnsi="Arial"/>
                <w:b w:val="0"/>
                <w:sz w:val="16"/>
              </w:rPr>
              <w:t>year_compare</w:t>
            </w:r>
          </w:p>
        </w:tc>
        <w:tc>
          <w:tcPr>
            <w:tcW w:type="dxa" w:w="4986"/>
            <w:vAlign w:val="top"/>
          </w:tcPr>
          <w:p>
            <w:pPr>
              <w:spacing w:after="0" w:line="240" w:lineRule="auto"/>
            </w:pPr>
            <w:r/>
            <w:r>
              <w:rPr>
                <w:rFonts w:ascii="Arial" w:hAnsi="Arial"/>
                <w:b w:val="0"/>
                <w:sz w:val="16"/>
              </w:rPr>
              <w:t>與前期比較結果：Improved / Stable / Deteriorated / NA</w:t>
            </w:r>
          </w:p>
        </w:tc>
      </w:tr>
      <w:tr>
        <w:tc>
          <w:tcPr>
            <w:tcW w:type="dxa" w:w="4986"/>
            <w:vAlign w:val="top"/>
          </w:tcPr>
          <w:p>
            <w:pPr>
              <w:spacing w:after="0" w:line="240" w:lineRule="auto"/>
            </w:pPr>
            <w:r/>
            <w:r>
              <w:rPr>
                <w:rFonts w:ascii="Arial" w:hAnsi="Arial"/>
                <w:b w:val="0"/>
                <w:sz w:val="16"/>
              </w:rPr>
              <w:t>missing_information</w:t>
            </w:r>
          </w:p>
        </w:tc>
        <w:tc>
          <w:tcPr>
            <w:tcW w:type="dxa" w:w="4986"/>
            <w:vAlign w:val="top"/>
          </w:tcPr>
          <w:p>
            <w:pPr>
              <w:spacing w:after="0" w:line="240" w:lineRule="auto"/>
            </w:pPr>
            <w:r/>
            <w:r>
              <w:rPr>
                <w:rFonts w:ascii="Arial" w:hAnsi="Arial"/>
                <w:b w:val="0"/>
                <w:sz w:val="16"/>
              </w:rPr>
              <w:t>關鍵缺失資訊</w:t>
            </w:r>
          </w:p>
        </w:tc>
      </w:tr>
      <w:tr>
        <w:tc>
          <w:tcPr>
            <w:tcW w:type="dxa" w:w="4986"/>
            <w:vAlign w:val="top"/>
          </w:tcPr>
          <w:p>
            <w:pPr>
              <w:spacing w:after="0" w:line="240" w:lineRule="auto"/>
            </w:pPr>
            <w:r/>
            <w:r>
              <w:rPr>
                <w:rFonts w:ascii="Arial" w:hAnsi="Arial"/>
                <w:b w:val="0"/>
                <w:sz w:val="16"/>
              </w:rPr>
              <w:t>source_scope</w:t>
            </w:r>
          </w:p>
        </w:tc>
        <w:tc>
          <w:tcPr>
            <w:tcW w:type="dxa" w:w="4986"/>
            <w:vAlign w:val="top"/>
          </w:tcPr>
          <w:p>
            <w:pPr>
              <w:spacing w:after="0" w:line="240" w:lineRule="auto"/>
            </w:pPr>
            <w:r/>
            <w:r>
              <w:rPr>
                <w:rFonts w:ascii="Arial" w:hAnsi="Arial"/>
                <w:b w:val="0"/>
                <w:sz w:val="16"/>
              </w:rPr>
              <w:t>報告書章節或附錄範圍</w:t>
            </w:r>
          </w:p>
        </w:tc>
      </w:tr>
    </w:tbl>
    <w:p>
      <w:pPr>
        <w:spacing w:after="40"/>
      </w:pPr>
    </w:p>
    <w:p>
      <w:pPr>
        <w:pStyle w:val="Heading1"/>
      </w:pPr>
      <w:r>
        <w:t>三、共通 0–4 分判定框架</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vAlign w:val="top"/>
            <w:shd w:fill="D9EAF7"/>
          </w:tcPr>
          <w:p>
            <w:pPr>
              <w:spacing w:after="0" w:line="240" w:lineRule="auto"/>
            </w:pPr>
            <w:r/>
            <w:r>
              <w:rPr>
                <w:rFonts w:ascii="Arial" w:hAnsi="Arial"/>
                <w:b/>
                <w:sz w:val="16"/>
              </w:rPr>
              <w:t>分數</w:t>
            </w:r>
          </w:p>
        </w:tc>
        <w:tc>
          <w:tcPr>
            <w:tcW w:type="dxa" w:w="3324"/>
            <w:vAlign w:val="top"/>
            <w:shd w:fill="D9EAF7"/>
          </w:tcPr>
          <w:p>
            <w:pPr>
              <w:spacing w:after="0" w:line="240" w:lineRule="auto"/>
            </w:pPr>
            <w:r/>
            <w:r>
              <w:rPr>
                <w:rFonts w:ascii="Arial" w:hAnsi="Arial"/>
                <w:b/>
                <w:sz w:val="16"/>
              </w:rPr>
              <w:t>風險程度</w:t>
            </w:r>
          </w:p>
        </w:tc>
        <w:tc>
          <w:tcPr>
            <w:tcW w:type="dxa" w:w="3324"/>
            <w:vAlign w:val="top"/>
            <w:shd w:fill="D9EAF7"/>
          </w:tcPr>
          <w:p>
            <w:pPr>
              <w:spacing w:after="0" w:line="240" w:lineRule="auto"/>
            </w:pPr>
            <w:r/>
            <w:r>
              <w:rPr>
                <w:rFonts w:ascii="Arial" w:hAnsi="Arial"/>
                <w:b/>
                <w:sz w:val="16"/>
              </w:rPr>
              <w:t>一般判定邏輯</w:t>
            </w:r>
          </w:p>
        </w:tc>
      </w:tr>
      <w:tr>
        <w:tc>
          <w:tcPr>
            <w:tcW w:type="dxa" w:w="3324"/>
            <w:vAlign w:val="top"/>
          </w:tcPr>
          <w:p>
            <w:pPr>
              <w:spacing w:after="0" w:line="240" w:lineRule="auto"/>
            </w:pPr>
            <w:r/>
            <w:r>
              <w:rPr>
                <w:rFonts w:ascii="Arial" w:hAnsi="Arial"/>
                <w:b w:val="0"/>
                <w:sz w:val="16"/>
              </w:rPr>
              <w:t>0</w:t>
            </w:r>
          </w:p>
        </w:tc>
        <w:tc>
          <w:tcPr>
            <w:tcW w:type="dxa" w:w="3324"/>
            <w:vAlign w:val="top"/>
          </w:tcPr>
          <w:p>
            <w:pPr>
              <w:spacing w:after="0" w:line="240" w:lineRule="auto"/>
            </w:pPr>
            <w:r/>
            <w:r>
              <w:rPr>
                <w:rFonts w:ascii="Arial" w:hAnsi="Arial"/>
                <w:b w:val="0"/>
                <w:sz w:val="16"/>
              </w:rPr>
              <w:t>無明顯風險</w:t>
            </w:r>
          </w:p>
        </w:tc>
        <w:tc>
          <w:tcPr>
            <w:tcW w:type="dxa" w:w="3324"/>
            <w:vAlign w:val="top"/>
          </w:tcPr>
          <w:p>
            <w:pPr>
              <w:spacing w:after="0" w:line="240" w:lineRule="auto"/>
            </w:pPr>
            <w:r/>
            <w:r>
              <w:rPr>
                <w:rFonts w:ascii="Arial" w:hAnsi="Arial"/>
                <w:b w:val="0"/>
                <w:sz w:val="16"/>
              </w:rPr>
              <w:t>證據完整、可量化、可追蹤、可驗證；正反資訊揭露相對平衡。</w:t>
            </w:r>
          </w:p>
        </w:tc>
      </w:tr>
      <w:tr>
        <w:tc>
          <w:tcPr>
            <w:tcW w:type="dxa" w:w="3324"/>
            <w:vAlign w:val="top"/>
          </w:tcPr>
          <w:p>
            <w:pPr>
              <w:spacing w:after="0" w:line="240" w:lineRule="auto"/>
            </w:pPr>
            <w:r/>
            <w:r>
              <w:rPr>
                <w:rFonts w:ascii="Arial" w:hAnsi="Arial"/>
                <w:b w:val="0"/>
                <w:sz w:val="16"/>
              </w:rPr>
              <w:t>1</w:t>
            </w:r>
          </w:p>
        </w:tc>
        <w:tc>
          <w:tcPr>
            <w:tcW w:type="dxa" w:w="3324"/>
            <w:vAlign w:val="top"/>
          </w:tcPr>
          <w:p>
            <w:pPr>
              <w:spacing w:after="0" w:line="240" w:lineRule="auto"/>
            </w:pPr>
            <w:r/>
            <w:r>
              <w:rPr>
                <w:rFonts w:ascii="Arial" w:hAnsi="Arial"/>
                <w:b w:val="0"/>
                <w:sz w:val="16"/>
              </w:rPr>
              <w:t>低風險</w:t>
            </w:r>
          </w:p>
        </w:tc>
        <w:tc>
          <w:tcPr>
            <w:tcW w:type="dxa" w:w="3324"/>
            <w:vAlign w:val="top"/>
          </w:tcPr>
          <w:p>
            <w:pPr>
              <w:spacing w:after="0" w:line="240" w:lineRule="auto"/>
            </w:pPr>
            <w:r/>
            <w:r>
              <w:rPr>
                <w:rFonts w:ascii="Arial" w:hAnsi="Arial"/>
                <w:b w:val="0"/>
                <w:sz w:val="16"/>
              </w:rPr>
              <w:t>大致完整，僅有次要資訊缺口，不影響對實際環境行動的判斷。</w:t>
            </w:r>
          </w:p>
        </w:tc>
      </w:tr>
      <w:tr>
        <w:tc>
          <w:tcPr>
            <w:tcW w:type="dxa" w:w="3324"/>
            <w:vAlign w:val="top"/>
          </w:tcPr>
          <w:p>
            <w:pPr>
              <w:spacing w:after="0" w:line="240" w:lineRule="auto"/>
            </w:pPr>
            <w:r/>
            <w:r>
              <w:rPr>
                <w:rFonts w:ascii="Arial" w:hAnsi="Arial"/>
                <w:b w:val="0"/>
                <w:sz w:val="16"/>
              </w:rPr>
              <w:t>2</w:t>
            </w:r>
          </w:p>
        </w:tc>
        <w:tc>
          <w:tcPr>
            <w:tcW w:type="dxa" w:w="3324"/>
            <w:vAlign w:val="top"/>
          </w:tcPr>
          <w:p>
            <w:pPr>
              <w:spacing w:after="0" w:line="240" w:lineRule="auto"/>
            </w:pPr>
            <w:r/>
            <w:r>
              <w:rPr>
                <w:rFonts w:ascii="Arial" w:hAnsi="Arial"/>
                <w:b w:val="0"/>
                <w:sz w:val="16"/>
              </w:rPr>
              <w:t>中度風險</w:t>
            </w:r>
          </w:p>
        </w:tc>
        <w:tc>
          <w:tcPr>
            <w:tcW w:type="dxa" w:w="3324"/>
            <w:vAlign w:val="top"/>
          </w:tcPr>
          <w:p>
            <w:pPr>
              <w:spacing w:after="0" w:line="240" w:lineRule="auto"/>
            </w:pPr>
            <w:r/>
            <w:r>
              <w:rPr>
                <w:rFonts w:ascii="Arial" w:hAnsi="Arial"/>
                <w:b w:val="0"/>
                <w:sz w:val="16"/>
              </w:rPr>
              <w:t>存在明顯資訊缺口、證據不完整或揭露不平衡，但尚有部分實質支持。</w:t>
            </w:r>
          </w:p>
        </w:tc>
      </w:tr>
      <w:tr>
        <w:tc>
          <w:tcPr>
            <w:tcW w:type="dxa" w:w="3324"/>
            <w:vAlign w:val="top"/>
          </w:tcPr>
          <w:p>
            <w:pPr>
              <w:spacing w:after="0" w:line="240" w:lineRule="auto"/>
            </w:pPr>
            <w:r/>
            <w:r>
              <w:rPr>
                <w:rFonts w:ascii="Arial" w:hAnsi="Arial"/>
                <w:b w:val="0"/>
                <w:sz w:val="16"/>
              </w:rPr>
              <w:t>3</w:t>
            </w:r>
          </w:p>
        </w:tc>
        <w:tc>
          <w:tcPr>
            <w:tcW w:type="dxa" w:w="3324"/>
            <w:vAlign w:val="top"/>
          </w:tcPr>
          <w:p>
            <w:pPr>
              <w:spacing w:after="0" w:line="240" w:lineRule="auto"/>
            </w:pPr>
            <w:r/>
            <w:r>
              <w:rPr>
                <w:rFonts w:ascii="Arial" w:hAnsi="Arial"/>
                <w:b w:val="0"/>
                <w:sz w:val="16"/>
              </w:rPr>
              <w:t>高風險</w:t>
            </w:r>
          </w:p>
        </w:tc>
        <w:tc>
          <w:tcPr>
            <w:tcW w:type="dxa" w:w="3324"/>
            <w:vAlign w:val="top"/>
          </w:tcPr>
          <w:p>
            <w:pPr>
              <w:spacing w:after="0" w:line="240" w:lineRule="auto"/>
            </w:pPr>
            <w:r/>
            <w:r>
              <w:rPr>
                <w:rFonts w:ascii="Arial" w:hAnsi="Arial"/>
                <w:b w:val="0"/>
                <w:sz w:val="16"/>
              </w:rPr>
              <w:t>多數重要宣稱缺乏充分實質證據，或負面資訊明顯弱化／缺失。</w:t>
            </w:r>
          </w:p>
        </w:tc>
      </w:tr>
      <w:tr>
        <w:tc>
          <w:tcPr>
            <w:tcW w:type="dxa" w:w="3324"/>
            <w:vAlign w:val="top"/>
          </w:tcPr>
          <w:p>
            <w:pPr>
              <w:spacing w:after="0" w:line="240" w:lineRule="auto"/>
            </w:pPr>
            <w:r/>
            <w:r>
              <w:rPr>
                <w:rFonts w:ascii="Arial" w:hAnsi="Arial"/>
                <w:b w:val="0"/>
                <w:sz w:val="16"/>
              </w:rPr>
              <w:t>4</w:t>
            </w:r>
          </w:p>
        </w:tc>
        <w:tc>
          <w:tcPr>
            <w:tcW w:type="dxa" w:w="3324"/>
            <w:vAlign w:val="top"/>
          </w:tcPr>
          <w:p>
            <w:pPr>
              <w:spacing w:after="0" w:line="240" w:lineRule="auto"/>
            </w:pPr>
            <w:r/>
            <w:r>
              <w:rPr>
                <w:rFonts w:ascii="Arial" w:hAnsi="Arial"/>
                <w:b w:val="0"/>
                <w:sz w:val="16"/>
              </w:rPr>
              <w:t>極高風險</w:t>
            </w:r>
          </w:p>
        </w:tc>
        <w:tc>
          <w:tcPr>
            <w:tcW w:type="dxa" w:w="3324"/>
            <w:vAlign w:val="top"/>
          </w:tcPr>
          <w:p>
            <w:pPr>
              <w:spacing w:after="0" w:line="240" w:lineRule="auto"/>
            </w:pPr>
            <w:r/>
            <w:r>
              <w:rPr>
                <w:rFonts w:ascii="Arial" w:hAnsi="Arial"/>
                <w:b w:val="0"/>
                <w:sz w:val="16"/>
              </w:rPr>
              <w:t>宣稱與證據嚴重脫節、關鍵資訊明顯缺漏、重大負面資訊被選擇性弱化，或無法建立可信的行動—績效鏈。</w:t>
            </w:r>
          </w:p>
        </w:tc>
      </w:tr>
      <w:tr>
        <w:tc>
          <w:tcPr>
            <w:tcW w:type="dxa" w:w="3324"/>
            <w:vAlign w:val="top"/>
          </w:tcPr>
          <w:p>
            <w:pPr>
              <w:spacing w:after="0" w:line="240" w:lineRule="auto"/>
            </w:pPr>
            <w:r/>
            <w:r>
              <w:rPr>
                <w:rFonts w:ascii="Arial" w:hAnsi="Arial"/>
                <w:b w:val="0"/>
                <w:sz w:val="16"/>
              </w:rPr>
              <w:t>NA</w:t>
            </w:r>
          </w:p>
        </w:tc>
        <w:tc>
          <w:tcPr>
            <w:tcW w:type="dxa" w:w="3324"/>
            <w:vAlign w:val="top"/>
          </w:tcPr>
          <w:p>
            <w:pPr>
              <w:spacing w:after="0" w:line="240" w:lineRule="auto"/>
            </w:pPr>
            <w:r/>
            <w:r>
              <w:rPr>
                <w:rFonts w:ascii="Arial" w:hAnsi="Arial"/>
                <w:b w:val="0"/>
                <w:sz w:val="16"/>
              </w:rPr>
              <w:t>不可評分</w:t>
            </w:r>
          </w:p>
        </w:tc>
        <w:tc>
          <w:tcPr>
            <w:tcW w:type="dxa" w:w="3324"/>
            <w:vAlign w:val="top"/>
          </w:tcPr>
          <w:p>
            <w:pPr>
              <w:spacing w:after="0" w:line="240" w:lineRule="auto"/>
            </w:pPr>
            <w:r/>
            <w:r>
              <w:rPr>
                <w:rFonts w:ascii="Arial" w:hAnsi="Arial"/>
                <w:b w:val="0"/>
                <w:sz w:val="16"/>
              </w:rPr>
              <w:t>資訊量不足、議題對該公司非重大且無合理評估基礎，或報告格式導致證據無法可靠擷取。</w:t>
            </w:r>
          </w:p>
        </w:tc>
      </w:tr>
    </w:tbl>
    <w:p>
      <w:pPr>
        <w:spacing w:after="40"/>
      </w:pPr>
    </w:p>
    <w:p>
      <w:pPr>
        <w:pStyle w:val="Heading1"/>
      </w:pPr>
      <w:r>
        <w:t>四、28 題詳細 Codebook</w:t>
      </w:r>
    </w:p>
    <w:p>
      <w:pPr>
        <w:pStyle w:val="Heading2"/>
      </w:pPr>
      <w:r>
        <w:t>D1 Claim–Evidence Gap (CEG)</w:t>
      </w:r>
    </w:p>
    <w:p>
      <w:pPr>
        <w:spacing w:after="120" w:line="276" w:lineRule="auto"/>
      </w:pPr>
      <w:r>
        <w:rPr>
          <w:b w:val="0"/>
        </w:rPr>
        <w:t>主要文獻基礎：Walker &amp; Wan (2012); Lublóy et al. (2025)</w:t>
      </w:r>
    </w:p>
    <w:p>
      <w:pPr>
        <w:pStyle w:val="Heading3"/>
      </w:pPr>
      <w:r>
        <w:t>CEG1　重要環境宣稱缺乏具體行動證據</w:t>
      </w:r>
    </w:p>
    <w:p>
      <w:pPr>
        <w:spacing w:after="20" w:line="276" w:lineRule="auto"/>
      </w:pPr>
      <w:r>
        <w:rPr>
          <w:b/>
        </w:rPr>
        <w:t>操作型定義：</w:t>
      </w:r>
    </w:p>
    <w:p>
      <w:pPr>
        <w:spacing w:after="80" w:line="276" w:lineRule="auto"/>
      </w:pPr>
      <w:r>
        <w:rPr>
          <w:b w:val="0"/>
        </w:rPr>
        <w:t>衡量公司提出重大環境主張後，是否能在同一報告年度找到直接對應的具體行動、專案、制度或執行措施。</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每個主要宣稱均能找到清楚且具體的行動證據。</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大多數主要宣稱有行動支持，少數次要宣稱較抽象。</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部分主要宣稱有行動支持，部分僅停留在承諾。</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多數主要宣稱缺乏具體行動支持。</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幾乎所有主要宣稱均只有口號或原則性描述。</w:t>
            </w:r>
          </w:p>
        </w:tc>
      </w:tr>
    </w:tbl>
    <w:p>
      <w:pPr>
        <w:spacing w:after="40"/>
      </w:pPr>
    </w:p>
    <w:p>
      <w:pPr>
        <w:spacing w:after="20" w:line="276" w:lineRule="auto"/>
      </w:pPr>
      <w:r>
        <w:rPr>
          <w:b/>
        </w:rPr>
        <w:t>正反例：</w:t>
      </w:r>
    </w:p>
    <w:p>
      <w:pPr>
        <w:spacing w:after="80" w:line="276" w:lineRule="auto"/>
      </w:pPr>
      <w:r>
        <w:rPr>
          <w:b w:val="0"/>
        </w:rPr>
        <w:t>反例（低風險）：『2025 年完成 3 座廠房能源管理系統建置，投資新台幣 X 億元。』</w:t>
        <w:br/>
        <w:t>正例（高風險）：『本公司持續深化低碳營運，積極落實節能減碳。』但無任何專案或措施。</w:t>
      </w:r>
    </w:p>
    <w:p>
      <w:pPr>
        <w:spacing w:after="20" w:line="276" w:lineRule="auto"/>
      </w:pPr>
      <w:r>
        <w:rPr>
          <w:b/>
        </w:rPr>
        <w:t>AI evidence fields：</w:t>
      </w:r>
    </w:p>
    <w:p>
      <w:pPr>
        <w:spacing w:after="80" w:line="276" w:lineRule="auto"/>
      </w:pPr>
      <w:r>
        <w:rPr>
          <w:b w:val="0"/>
        </w:rPr>
        <w:t>claim_text, claim_topic, action_project, implementation_date, investment_amount, responsible_unit, project_scope</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若找不到主要環境宣稱，且報告整體環境資訊極少：不要直接給 0，應依 materiality 判斷；若無法判斷則 NA。</w:t>
      </w:r>
    </w:p>
    <w:p>
      <w:pPr>
        <w:spacing w:after="20" w:line="276" w:lineRule="auto"/>
      </w:pPr>
      <w:r>
        <w:rPr>
          <w:b/>
        </w:rPr>
        <w:t>跨年度比較原則：</w:t>
      </w:r>
    </w:p>
    <w:p>
      <w:pPr>
        <w:spacing w:after="120" w:line="276" w:lineRule="auto"/>
      </w:pPr>
      <w:r>
        <w:rPr>
          <w:b w:val="0"/>
        </w:rPr>
        <w:t>比較同一主題上一年度是否只有承諾、本年度是否新增具體行動。若新增行動，year_compare=Improved。</w:t>
      </w:r>
    </w:p>
    <w:p>
      <w:pPr>
        <w:pStyle w:val="Heading3"/>
      </w:pPr>
      <w:r>
        <w:t>CEG2　宣稱之環境改善缺乏實際執行專案或措施</w:t>
      </w:r>
    </w:p>
    <w:p>
      <w:pPr>
        <w:spacing w:after="20" w:line="276" w:lineRule="auto"/>
      </w:pPr>
      <w:r>
        <w:rPr>
          <w:b/>
        </w:rPr>
        <w:t>操作型定義：</w:t>
      </w:r>
    </w:p>
    <w:p>
      <w:pPr>
        <w:spacing w:after="80" w:line="276" w:lineRule="auto"/>
      </w:pPr>
      <w:r>
        <w:rPr>
          <w:b w:val="0"/>
        </w:rPr>
        <w:t>衡量公司聲稱『改善、降低、提升』時，是否揭露造成該改善的具體執行機制，而非只報告結果或口號。</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改善結果與執行措施有直接對應。</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多數改善有措施說明，細節略不足。</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只有部分改善能對應措施。</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多數改善聲稱無法找到對應措施。</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大量改善性語句完全無執行內容。</w:t>
            </w:r>
          </w:p>
        </w:tc>
      </w:tr>
    </w:tbl>
    <w:p>
      <w:pPr>
        <w:spacing w:after="40"/>
      </w:pPr>
    </w:p>
    <w:p>
      <w:pPr>
        <w:spacing w:after="20" w:line="276" w:lineRule="auto"/>
      </w:pPr>
      <w:r>
        <w:rPr>
          <w:b/>
        </w:rPr>
        <w:t>正反例：</w:t>
      </w:r>
    </w:p>
    <w:p>
      <w:pPr>
        <w:spacing w:after="80" w:line="276" w:lineRule="auto"/>
      </w:pPr>
      <w:r>
        <w:rPr>
          <w:b w:val="0"/>
        </w:rPr>
        <w:t>反例：『更換 1,200 台高效率馬達，使用電量下降 8.4%。』</w:t>
        <w:br/>
        <w:t>正例：『能源效率顯著提升。』但未說明任何措施。</w:t>
      </w:r>
    </w:p>
    <w:p>
      <w:pPr>
        <w:spacing w:after="20" w:line="276" w:lineRule="auto"/>
      </w:pPr>
      <w:r>
        <w:rPr>
          <w:b/>
        </w:rPr>
        <w:t>AI evidence fields：</w:t>
      </w:r>
    </w:p>
    <w:p>
      <w:pPr>
        <w:spacing w:after="80" w:line="276" w:lineRule="auto"/>
      </w:pPr>
      <w:r>
        <w:rPr>
          <w:b w:val="0"/>
        </w:rPr>
        <w:t>improvement_claim, before_after_metric, action_mechanism, project_name, scope, causal_link</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若僅有績效數據但無改善性宣稱，本題可 NA；不要因沒有『改善』字樣扣分。</w:t>
      </w:r>
    </w:p>
    <w:p>
      <w:pPr>
        <w:spacing w:after="20" w:line="276" w:lineRule="auto"/>
      </w:pPr>
      <w:r>
        <w:rPr>
          <w:b/>
        </w:rPr>
        <w:t>跨年度比較原則：</w:t>
      </w:r>
    </w:p>
    <w:p>
      <w:pPr>
        <w:spacing w:after="120" w:line="276" w:lineRule="auto"/>
      </w:pPr>
      <w:r>
        <w:rPr>
          <w:b w:val="0"/>
        </w:rPr>
        <w:t>跨年檢查改善措施是否持續存在，以及今年的績效是否與措施方向一致。</w:t>
      </w:r>
    </w:p>
    <w:p>
      <w:pPr>
        <w:pStyle w:val="Heading3"/>
      </w:pPr>
      <w:r>
        <w:t>CEG3　Symbolic commitment 明顯多於 substantive action</w:t>
      </w:r>
    </w:p>
    <w:p>
      <w:pPr>
        <w:spacing w:after="20" w:line="276" w:lineRule="auto"/>
      </w:pPr>
      <w:r>
        <w:rPr>
          <w:b/>
        </w:rPr>
        <w:t>操作型定義：</w:t>
      </w:r>
    </w:p>
    <w:p>
      <w:pPr>
        <w:spacing w:after="80" w:line="276" w:lineRule="auto"/>
      </w:pPr>
      <w:r>
        <w:rPr>
          <w:b w:val="0"/>
        </w:rPr>
        <w:t>衡量報告中象徵性承諾、價值宣示與願景文字，相對於可驗證實質行動的比例與落差。</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承諾與實質行動大致平衡。</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象徵性文字略多，但實質行動充分。</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象徵性與實質內容約各半。</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象徵性內容明顯多於實質行動。</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主要環境篇章幾乎以願景、承諾、口號構成。</w:t>
            </w:r>
          </w:p>
        </w:tc>
      </w:tr>
    </w:tbl>
    <w:p>
      <w:pPr>
        <w:spacing w:after="40"/>
      </w:pPr>
    </w:p>
    <w:p>
      <w:pPr>
        <w:spacing w:after="20" w:line="276" w:lineRule="auto"/>
      </w:pPr>
      <w:r>
        <w:rPr>
          <w:b/>
        </w:rPr>
        <w:t>正反例：</w:t>
      </w:r>
    </w:p>
    <w:p>
      <w:pPr>
        <w:spacing w:after="80" w:line="276" w:lineRule="auto"/>
      </w:pPr>
      <w:r>
        <w:rPr>
          <w:b w:val="0"/>
        </w:rPr>
        <w:t>反例：每項願景後均列專案、KPI、預算與成果。</w:t>
        <w:br/>
        <w:t>正例：大量『致力、持續、深化、領先、打造綠色未來』，但缺少行動與結果。</w:t>
      </w:r>
    </w:p>
    <w:p>
      <w:pPr>
        <w:spacing w:after="20" w:line="276" w:lineRule="auto"/>
      </w:pPr>
      <w:r>
        <w:rPr>
          <w:b/>
        </w:rPr>
        <w:t>AI evidence fields：</w:t>
      </w:r>
    </w:p>
    <w:p>
      <w:pPr>
        <w:spacing w:after="80" w:line="276" w:lineRule="auto"/>
      </w:pPr>
      <w:r>
        <w:rPr>
          <w:b w:val="0"/>
        </w:rPr>
        <w:t>symbolic_claim_count, substantive_action_count, symbolic_examples, substantive_examples, ratio_symbolic_substantive</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若報告內容過短、無法穩定計算 symbolic/substantive 比例，標示 NA。</w:t>
      </w:r>
    </w:p>
    <w:p>
      <w:pPr>
        <w:spacing w:after="20" w:line="276" w:lineRule="auto"/>
      </w:pPr>
      <w:r>
        <w:rPr>
          <w:b/>
        </w:rPr>
        <w:t>跨年度比較原則：</w:t>
      </w:r>
    </w:p>
    <w:p>
      <w:pPr>
        <w:spacing w:after="120" w:line="276" w:lineRule="auto"/>
      </w:pPr>
      <w:r>
        <w:rPr>
          <w:b w:val="0"/>
        </w:rPr>
        <w:t>比較 symbolic/substantive 比例是否逐年上升；若承諾增加但實質行動未同步增加，視為 Deteriorated。</w:t>
      </w:r>
    </w:p>
    <w:p>
      <w:pPr>
        <w:pStyle w:val="Heading3"/>
      </w:pPr>
      <w:r>
        <w:t>CEG4　宣稱與提供之結果證據無法建立直接對應</w:t>
      </w:r>
    </w:p>
    <w:p>
      <w:pPr>
        <w:spacing w:after="20" w:line="276" w:lineRule="auto"/>
      </w:pPr>
      <w:r>
        <w:rPr>
          <w:b/>
        </w:rPr>
        <w:t>操作型定義：</w:t>
      </w:r>
    </w:p>
    <w:p>
      <w:pPr>
        <w:spacing w:after="80" w:line="276" w:lineRule="auto"/>
      </w:pPr>
      <w:r>
        <w:rPr>
          <w:b w:val="0"/>
        </w:rPr>
        <w:t>衡量公司提出環境宣稱後，報告中的成果數據是否能直接支持該宣稱，而非使用不同範圍、不同口徑或無關績效佐證。</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宣稱與結果一一對應，範圍與口徑一致。</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少數範圍或口徑差異，但不影響結論。</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部分宣稱只能由間接結果支持。</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多數宣稱與成果數據對應弱。</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宣稱與提供的結果幾乎無可辨識關聯。</w:t>
            </w:r>
          </w:p>
        </w:tc>
      </w:tr>
    </w:tbl>
    <w:p>
      <w:pPr>
        <w:spacing w:after="40"/>
      </w:pPr>
    </w:p>
    <w:p>
      <w:pPr>
        <w:spacing w:after="20" w:line="276" w:lineRule="auto"/>
      </w:pPr>
      <w:r>
        <w:rPr>
          <w:b/>
        </w:rPr>
        <w:t>正反例：</w:t>
      </w:r>
    </w:p>
    <w:p>
      <w:pPr>
        <w:spacing w:after="80" w:line="276" w:lineRule="auto"/>
      </w:pPr>
      <w:r>
        <w:rPr>
          <w:b w:val="0"/>
        </w:rPr>
        <w:t>反例：宣稱『降低 Scope 2』，並提供同範圍 Scope 2 年度下降資料。</w:t>
        <w:br/>
        <w:t>正例：宣稱『整體碳排下降』，卻只提供單一廠區節電量。</w:t>
      </w:r>
    </w:p>
    <w:p>
      <w:pPr>
        <w:spacing w:after="20" w:line="276" w:lineRule="auto"/>
      </w:pPr>
      <w:r>
        <w:rPr>
          <w:b/>
        </w:rPr>
        <w:t>AI evidence fields：</w:t>
      </w:r>
    </w:p>
    <w:p>
      <w:pPr>
        <w:spacing w:after="80" w:line="276" w:lineRule="auto"/>
      </w:pPr>
      <w:r>
        <w:rPr>
          <w:b w:val="0"/>
        </w:rPr>
        <w:t>claim_scope, result_metric, result_scope, time_period, denominator, direct_match_flag</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若無結果性宣稱或無可比結果，依議題重要性判斷；無合理基礎時 NA。</w:t>
      </w:r>
    </w:p>
    <w:p>
      <w:pPr>
        <w:spacing w:after="20" w:line="276" w:lineRule="auto"/>
      </w:pPr>
      <w:r>
        <w:rPr>
          <w:b/>
        </w:rPr>
        <w:t>跨年度比較原則：</w:t>
      </w:r>
    </w:p>
    <w:p>
      <w:pPr>
        <w:spacing w:after="120" w:line="276" w:lineRule="auto"/>
      </w:pPr>
      <w:r>
        <w:rPr>
          <w:b w:val="0"/>
        </w:rPr>
        <w:t>檢查公司是否跨年改變範圍、口徑或母數，導致宣稱與結果不可比。</w:t>
      </w:r>
    </w:p>
    <w:p>
      <w:pPr>
        <w:pStyle w:val="Heading2"/>
      </w:pPr>
      <w:r>
        <w:t>D2 Quantification &amp; Performance Evidence Gap (QEG)</w:t>
      </w:r>
    </w:p>
    <w:p>
      <w:pPr>
        <w:spacing w:after="120" w:line="276" w:lineRule="auto"/>
      </w:pPr>
      <w:r>
        <w:rPr>
          <w:b w:val="0"/>
        </w:rPr>
        <w:t>主要文獻基礎：Marquis et al. (2016); Michelon et al. (2015); Lublóy et al. (2025)</w:t>
      </w:r>
    </w:p>
    <w:p>
      <w:pPr>
        <w:pStyle w:val="Heading3"/>
      </w:pPr>
      <w:r>
        <w:t>QEG1　重要環境宣稱缺乏量化數據</w:t>
      </w:r>
    </w:p>
    <w:p>
      <w:pPr>
        <w:spacing w:after="20" w:line="276" w:lineRule="auto"/>
      </w:pPr>
      <w:r>
        <w:rPr>
          <w:b/>
        </w:rPr>
        <w:t>操作型定義：</w:t>
      </w:r>
    </w:p>
    <w:p>
      <w:pPr>
        <w:spacing w:after="80" w:line="276" w:lineRule="auto"/>
      </w:pPr>
      <w:r>
        <w:rPr>
          <w:b w:val="0"/>
        </w:rPr>
        <w:t>衡量重大環境宣稱是否附有可量化數據，而非只以定性文字描述。</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主要宣稱均有量化數據。</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少數次要宣稱缺乏數據。</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約半數主要宣稱有數據。</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多數主要宣稱只有定性描述。</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幾乎沒有量化支持。</w:t>
            </w:r>
          </w:p>
        </w:tc>
      </w:tr>
    </w:tbl>
    <w:p>
      <w:pPr>
        <w:spacing w:after="40"/>
      </w:pPr>
    </w:p>
    <w:p>
      <w:pPr>
        <w:spacing w:after="20" w:line="276" w:lineRule="auto"/>
      </w:pPr>
      <w:r>
        <w:rPr>
          <w:b/>
        </w:rPr>
        <w:t>正反例：</w:t>
      </w:r>
    </w:p>
    <w:p>
      <w:pPr>
        <w:spacing w:after="80" w:line="276" w:lineRule="auto"/>
      </w:pPr>
      <w:r>
        <w:rPr>
          <w:b w:val="0"/>
        </w:rPr>
        <w:t>反例：『用水強度下降 12.3%，至 0.45 m³/千元營收。』</w:t>
        <w:br/>
        <w:t>正例：『持續降低用水量』但無數值。</w:t>
      </w:r>
    </w:p>
    <w:p>
      <w:pPr>
        <w:spacing w:after="20" w:line="276" w:lineRule="auto"/>
      </w:pPr>
      <w:r>
        <w:rPr>
          <w:b/>
        </w:rPr>
        <w:t>AI evidence fields：</w:t>
      </w:r>
    </w:p>
    <w:p>
      <w:pPr>
        <w:spacing w:after="80" w:line="276" w:lineRule="auto"/>
      </w:pPr>
      <w:r>
        <w:rPr>
          <w:b w:val="0"/>
        </w:rPr>
        <w:t>claim_text, metric_name, absolute_value, unit, intensity_value, percentage_change</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若該宣稱本質上無法合理量化，則不應扣分，可 NA 或排除該 claim。</w:t>
      </w:r>
    </w:p>
    <w:p>
      <w:pPr>
        <w:spacing w:after="20" w:line="276" w:lineRule="auto"/>
      </w:pPr>
      <w:r>
        <w:rPr>
          <w:b/>
        </w:rPr>
        <w:t>跨年度比較原則：</w:t>
      </w:r>
    </w:p>
    <w:p>
      <w:pPr>
        <w:spacing w:after="120" w:line="276" w:lineRule="auto"/>
      </w:pPr>
      <w:r>
        <w:rPr>
          <w:b w:val="0"/>
        </w:rPr>
        <w:t>比較同一主題量化資訊是否增加；由定性轉為定量視為 Improved。</w:t>
      </w:r>
    </w:p>
    <w:p>
      <w:pPr>
        <w:pStyle w:val="Heading3"/>
      </w:pPr>
      <w:r>
        <w:t>QEG2　缺乏基準年或基準值</w:t>
      </w:r>
    </w:p>
    <w:p>
      <w:pPr>
        <w:spacing w:after="20" w:line="276" w:lineRule="auto"/>
      </w:pPr>
      <w:r>
        <w:rPr>
          <w:b/>
        </w:rPr>
        <w:t>操作型定義：</w:t>
      </w:r>
    </w:p>
    <w:p>
      <w:pPr>
        <w:spacing w:after="80" w:line="276" w:lineRule="auto"/>
      </w:pPr>
      <w:r>
        <w:rPr>
          <w:b w:val="0"/>
        </w:rPr>
        <w:t>衡量績效與減量目標是否提供明確基準年或基準值，讓外部讀者能判斷改善幅度。</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主要目標與改善宣稱均有明確基準。</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少數次要項目缺基準。</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部分重要項目無基準。</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多數改善性主張缺基準。</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幾乎所有相對改善主張均無基準。</w:t>
            </w:r>
          </w:p>
        </w:tc>
      </w:tr>
    </w:tbl>
    <w:p>
      <w:pPr>
        <w:spacing w:after="40"/>
      </w:pPr>
    </w:p>
    <w:p>
      <w:pPr>
        <w:spacing w:after="20" w:line="276" w:lineRule="auto"/>
      </w:pPr>
      <w:r>
        <w:rPr>
          <w:b/>
        </w:rPr>
        <w:t>正反例：</w:t>
      </w:r>
    </w:p>
    <w:p>
      <w:pPr>
        <w:spacing w:after="80" w:line="276" w:lineRule="auto"/>
      </w:pPr>
      <w:r>
        <w:rPr>
          <w:b w:val="0"/>
        </w:rPr>
        <w:t>反例：『以 2020 年為基準，2030 年 Scope 1+2 減量 42%。』</w:t>
        <w:br/>
        <w:t>正例：『2030 年大幅減碳』但無基準年。</w:t>
      </w:r>
    </w:p>
    <w:p>
      <w:pPr>
        <w:spacing w:after="20" w:line="276" w:lineRule="auto"/>
      </w:pPr>
      <w:r>
        <w:rPr>
          <w:b/>
        </w:rPr>
        <w:t>AI evidence fields：</w:t>
      </w:r>
    </w:p>
    <w:p>
      <w:pPr>
        <w:spacing w:after="80" w:line="276" w:lineRule="auto"/>
      </w:pPr>
      <w:r>
        <w:rPr>
          <w:b w:val="0"/>
        </w:rPr>
        <w:t>baseline_year, baseline_value, target_year, target_value, metric_name</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若該數據是絕對值揭露而非『改善／減量目標』，不必強制要求基準，可 NA。</w:t>
      </w:r>
    </w:p>
    <w:p>
      <w:pPr>
        <w:spacing w:after="20" w:line="276" w:lineRule="auto"/>
      </w:pPr>
      <w:r>
        <w:rPr>
          <w:b/>
        </w:rPr>
        <w:t>跨年度比較原則：</w:t>
      </w:r>
    </w:p>
    <w:p>
      <w:pPr>
        <w:spacing w:after="120" w:line="276" w:lineRule="auto"/>
      </w:pPr>
      <w:r>
        <w:rPr>
          <w:b w:val="0"/>
        </w:rPr>
        <w:t>檢查基準年是否跨年任意變更；如變更，必須揭露理由與重算。</w:t>
      </w:r>
    </w:p>
    <w:p>
      <w:pPr>
        <w:pStyle w:val="Heading3"/>
      </w:pPr>
      <w:r>
        <w:t>QEG3　缺乏跨年度可比較資料</w:t>
      </w:r>
    </w:p>
    <w:p>
      <w:pPr>
        <w:spacing w:after="20" w:line="276" w:lineRule="auto"/>
      </w:pPr>
      <w:r>
        <w:rPr>
          <w:b/>
        </w:rPr>
        <w:t>操作型定義：</w:t>
      </w:r>
    </w:p>
    <w:p>
      <w:pPr>
        <w:spacing w:after="80" w:line="276" w:lineRule="auto"/>
      </w:pPr>
      <w:r>
        <w:rPr>
          <w:b w:val="0"/>
        </w:rPr>
        <w:t>衡量主要環境 KPI 是否至少提供兩期以上可比較數據，或清楚說明無法比較的原因。</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主要 KPI 有 3 年以上一致口徑資料。</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大多數 KPI 有至少 2 年資料。</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 KPI 可比較。</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 KPI 僅單年值。</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幾乎無跨年可比資料。</w:t>
            </w:r>
          </w:p>
        </w:tc>
      </w:tr>
    </w:tbl>
    <w:p>
      <w:pPr>
        <w:spacing w:after="40"/>
      </w:pPr>
    </w:p>
    <w:p>
      <w:pPr>
        <w:spacing w:after="20" w:line="276" w:lineRule="auto"/>
      </w:pPr>
      <w:r>
        <w:rPr>
          <w:b/>
        </w:rPr>
        <w:t>正反例：</w:t>
      </w:r>
    </w:p>
    <w:p>
      <w:pPr>
        <w:spacing w:after="80" w:line="276" w:lineRule="auto"/>
      </w:pPr>
      <w:r>
        <w:rPr>
          <w:b w:val="0"/>
        </w:rPr>
        <w:t>反例：表列 2023–2025 排放、能源、水與廢棄物。</w:t>
        <w:br/>
        <w:t>正例：只提供 2025 單年數據，卻宣稱『持續改善』。</w:t>
      </w:r>
    </w:p>
    <w:p>
      <w:pPr>
        <w:spacing w:after="20" w:line="276" w:lineRule="auto"/>
      </w:pPr>
      <w:r>
        <w:rPr>
          <w:b/>
        </w:rPr>
        <w:t>AI evidence fields：</w:t>
      </w:r>
    </w:p>
    <w:p>
      <w:pPr>
        <w:spacing w:after="80" w:line="276" w:lineRule="auto"/>
      </w:pPr>
      <w:r>
        <w:rPr>
          <w:b w:val="0"/>
        </w:rPr>
        <w:t>year_series, metric_name, unit_consistency, scope_consistency, restatement_flag</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新成立公司、新指標首次採用或法規首次要求揭露時，可 NA 或降低評分，但要記錄原因。</w:t>
      </w:r>
    </w:p>
    <w:p>
      <w:pPr>
        <w:spacing w:after="20" w:line="276" w:lineRule="auto"/>
      </w:pPr>
      <w:r>
        <w:rPr>
          <w:b/>
        </w:rPr>
        <w:t>跨年度比較原則：</w:t>
      </w:r>
    </w:p>
    <w:p>
      <w:pPr>
        <w:spacing w:after="120" w:line="276" w:lineRule="auto"/>
      </w:pPr>
      <w:r>
        <w:rPr>
          <w:b w:val="0"/>
        </w:rPr>
        <w:t>優先比較連續三年；若口徑變更，記錄是否有重編前期資料。</w:t>
      </w:r>
    </w:p>
    <w:p>
      <w:pPr>
        <w:pStyle w:val="Heading3"/>
      </w:pPr>
      <w:r>
        <w:t>QEG4　數據範圍、coverage 或 denominator 不清楚</w:t>
      </w:r>
    </w:p>
    <w:p>
      <w:pPr>
        <w:spacing w:after="20" w:line="276" w:lineRule="auto"/>
      </w:pPr>
      <w:r>
        <w:rPr>
          <w:b/>
        </w:rPr>
        <w:t>操作型定義：</w:t>
      </w:r>
    </w:p>
    <w:p>
      <w:pPr>
        <w:spacing w:after="80" w:line="276" w:lineRule="auto"/>
      </w:pPr>
      <w:r>
        <w:rPr>
          <w:b w:val="0"/>
        </w:rPr>
        <w:t>衡量環境數據是否清楚說明涵蓋公司、子公司、廠區、地區、營運邊界，以及強度指標的母數。</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範圍、coverage 與 denominator 完整。</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有少量邊界細節不清。</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部分重要數據範圍或母數不清。</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多數重要數據缺乏範圍說明。</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數據無法判斷代表公司整體或局部。</w:t>
            </w:r>
          </w:p>
        </w:tc>
      </w:tr>
    </w:tbl>
    <w:p>
      <w:pPr>
        <w:spacing w:after="40"/>
      </w:pPr>
    </w:p>
    <w:p>
      <w:pPr>
        <w:spacing w:after="20" w:line="276" w:lineRule="auto"/>
      </w:pPr>
      <w:r>
        <w:rPr>
          <w:b/>
        </w:rPr>
        <w:t>正反例：</w:t>
      </w:r>
    </w:p>
    <w:p>
      <w:pPr>
        <w:spacing w:after="80" w:line="276" w:lineRule="auto"/>
      </w:pPr>
      <w:r>
        <w:rPr>
          <w:b w:val="0"/>
        </w:rPr>
        <w:t>反例：『涵蓋全球 95% 營收之營運據點；強度以百萬元營收為母數。』</w:t>
        <w:br/>
        <w:t>正例：『碳排強度下降 15%』但不知母數或涵蓋哪些廠。</w:t>
      </w:r>
    </w:p>
    <w:p>
      <w:pPr>
        <w:spacing w:after="20" w:line="276" w:lineRule="auto"/>
      </w:pPr>
      <w:r>
        <w:rPr>
          <w:b/>
        </w:rPr>
        <w:t>AI evidence fields：</w:t>
      </w:r>
    </w:p>
    <w:p>
      <w:pPr>
        <w:spacing w:after="80" w:line="276" w:lineRule="auto"/>
      </w:pPr>
      <w:r>
        <w:rPr>
          <w:b w:val="0"/>
        </w:rPr>
        <w:t>organizational_boundary, geographic_scope, coverage_percent, denominator, denominator_unit, excluded_entities</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若該數據本身不需 denominator，則 denominator 可不適用；但 coverage 還是要判斷。</w:t>
      </w:r>
    </w:p>
    <w:p>
      <w:pPr>
        <w:spacing w:after="20" w:line="276" w:lineRule="auto"/>
      </w:pPr>
      <w:r>
        <w:rPr>
          <w:b/>
        </w:rPr>
        <w:t>跨年度比較原則：</w:t>
      </w:r>
    </w:p>
    <w:p>
      <w:pPr>
        <w:spacing w:after="120" w:line="276" w:lineRule="auto"/>
      </w:pPr>
      <w:r>
        <w:rPr>
          <w:b w:val="0"/>
        </w:rPr>
        <w:t>檢查 coverage 是否跨年擴大或縮小，以及公司是否說明對趨勢的影響。</w:t>
      </w:r>
    </w:p>
    <w:p>
      <w:pPr>
        <w:pStyle w:val="Heading2"/>
      </w:pPr>
      <w:r>
        <w:t>D3 Target–Achievement Gap (TAG)</w:t>
      </w:r>
    </w:p>
    <w:p>
      <w:pPr>
        <w:spacing w:after="120" w:line="276" w:lineRule="auto"/>
      </w:pPr>
      <w:r>
        <w:rPr>
          <w:b w:val="0"/>
        </w:rPr>
        <w:t>主要文獻基礎：Walker &amp; Wan (2012); Lublóy et al. (2025)</w:t>
      </w:r>
    </w:p>
    <w:p>
      <w:pPr>
        <w:pStyle w:val="Heading3"/>
      </w:pPr>
      <w:r>
        <w:t>TAG1　長期環境目標缺乏明確期限</w:t>
      </w:r>
    </w:p>
    <w:p>
      <w:pPr>
        <w:spacing w:after="20" w:line="276" w:lineRule="auto"/>
      </w:pPr>
      <w:r>
        <w:rPr>
          <w:b/>
        </w:rPr>
        <w:t>操作型定義：</w:t>
      </w:r>
    </w:p>
    <w:p>
      <w:pPr>
        <w:spacing w:after="80" w:line="276" w:lineRule="auto"/>
      </w:pPr>
      <w:r>
        <w:rPr>
          <w:b w:val="0"/>
        </w:rPr>
        <w:t>衡量環境承諾是否具有明確 target year 或完成期限。</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所有重大目標均有期限。</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少數次要目標無期限。</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部分重大目標只有模糊時間。</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多數重大目標沒有明確期限。</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目標幾乎都是無期限願景。</w:t>
            </w:r>
          </w:p>
        </w:tc>
      </w:tr>
    </w:tbl>
    <w:p>
      <w:pPr>
        <w:spacing w:after="40"/>
      </w:pPr>
    </w:p>
    <w:p>
      <w:pPr>
        <w:spacing w:after="20" w:line="276" w:lineRule="auto"/>
      </w:pPr>
      <w:r>
        <w:rPr>
          <w:b/>
        </w:rPr>
        <w:t>正反例：</w:t>
      </w:r>
    </w:p>
    <w:p>
      <w:pPr>
        <w:spacing w:after="80" w:line="276" w:lineRule="auto"/>
      </w:pPr>
      <w:r>
        <w:rPr>
          <w:b w:val="0"/>
        </w:rPr>
        <w:t>反例：『2030 年再生能源使用比例達 60%。』</w:t>
        <w:br/>
        <w:t>正例：『持續提升再生能源使用比例。』</w:t>
      </w:r>
    </w:p>
    <w:p>
      <w:pPr>
        <w:spacing w:after="20" w:line="276" w:lineRule="auto"/>
      </w:pPr>
      <w:r>
        <w:rPr>
          <w:b/>
        </w:rPr>
        <w:t>AI evidence fields：</w:t>
      </w:r>
    </w:p>
    <w:p>
      <w:pPr>
        <w:spacing w:after="80" w:line="276" w:lineRule="auto"/>
      </w:pPr>
      <w:r>
        <w:rPr>
          <w:b w:val="0"/>
        </w:rPr>
        <w:t>target_text, target_year, interim_year, deadline_type</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若內容只是政策原則而非目標，不應強迫評分，可 NA。</w:t>
      </w:r>
    </w:p>
    <w:p>
      <w:pPr>
        <w:spacing w:after="20" w:line="276" w:lineRule="auto"/>
      </w:pPr>
      <w:r>
        <w:rPr>
          <w:b/>
        </w:rPr>
        <w:t>跨年度比較原則：</w:t>
      </w:r>
    </w:p>
    <w:p>
      <w:pPr>
        <w:spacing w:after="120" w:line="276" w:lineRule="auto"/>
      </w:pPr>
      <w:r>
        <w:rPr>
          <w:b w:val="0"/>
        </w:rPr>
        <w:t>比較過去無期限承諾是否轉為具體期限。</w:t>
      </w:r>
    </w:p>
    <w:p>
      <w:pPr>
        <w:pStyle w:val="Heading3"/>
      </w:pPr>
      <w:r>
        <w:t>TAG2　目標缺乏短中期 milestones</w:t>
      </w:r>
    </w:p>
    <w:p>
      <w:pPr>
        <w:spacing w:after="20" w:line="276" w:lineRule="auto"/>
      </w:pPr>
      <w:r>
        <w:rPr>
          <w:b/>
        </w:rPr>
        <w:t>操作型定義：</w:t>
      </w:r>
    </w:p>
    <w:p>
      <w:pPr>
        <w:spacing w:after="80" w:line="276" w:lineRule="auto"/>
      </w:pPr>
      <w:r>
        <w:rPr>
          <w:b w:val="0"/>
        </w:rPr>
        <w:t>衡量長期目標是否拆解為可追蹤的中間里程碑。</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長期目標有清楚年度／階段性 milestones。</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大多數目標有里程碑。</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部分有、部分無。</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長期目標多數沒有中期節點。</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只存在遠期目標，完全沒有中間路徑。</w:t>
            </w:r>
          </w:p>
        </w:tc>
      </w:tr>
    </w:tbl>
    <w:p>
      <w:pPr>
        <w:spacing w:after="40"/>
      </w:pPr>
    </w:p>
    <w:p>
      <w:pPr>
        <w:spacing w:after="20" w:line="276" w:lineRule="auto"/>
      </w:pPr>
      <w:r>
        <w:rPr>
          <w:b/>
        </w:rPr>
        <w:t>正反例：</w:t>
      </w:r>
    </w:p>
    <w:p>
      <w:pPr>
        <w:spacing w:after="80" w:line="276" w:lineRule="auto"/>
      </w:pPr>
      <w:r>
        <w:rPr>
          <w:b w:val="0"/>
        </w:rPr>
        <w:t>反例：2030 目標搭配 2026、2028 階段目標。</w:t>
        <w:br/>
        <w:t>正例：只寫『2050 淨零』。</w:t>
      </w:r>
    </w:p>
    <w:p>
      <w:pPr>
        <w:spacing w:after="20" w:line="276" w:lineRule="auto"/>
      </w:pPr>
      <w:r>
        <w:rPr>
          <w:b/>
        </w:rPr>
        <w:t>AI evidence fields：</w:t>
      </w:r>
    </w:p>
    <w:p>
      <w:pPr>
        <w:spacing w:after="80" w:line="276" w:lineRule="auto"/>
      </w:pPr>
      <w:r>
        <w:rPr>
          <w:b w:val="0"/>
        </w:rPr>
        <w:t>long_term_target, milestones, milestone_years, milestone_values</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若目標期限短於 2 年，可不要求 milestones，標示 NA。</w:t>
      </w:r>
    </w:p>
    <w:p>
      <w:pPr>
        <w:spacing w:after="20" w:line="276" w:lineRule="auto"/>
      </w:pPr>
      <w:r>
        <w:rPr>
          <w:b/>
        </w:rPr>
        <w:t>跨年度比較原則：</w:t>
      </w:r>
    </w:p>
    <w:p>
      <w:pPr>
        <w:spacing w:after="120" w:line="276" w:lineRule="auto"/>
      </w:pPr>
      <w:r>
        <w:rPr>
          <w:b w:val="0"/>
        </w:rPr>
        <w:t>跨年確認 milestones 是否按期更新，避免公司每年延後。</w:t>
      </w:r>
    </w:p>
    <w:p>
      <w:pPr>
        <w:pStyle w:val="Heading3"/>
      </w:pPr>
      <w:r>
        <w:t>TAG3　過去承諾缺乏當年度進度追蹤</w:t>
      </w:r>
    </w:p>
    <w:p>
      <w:pPr>
        <w:spacing w:after="20" w:line="276" w:lineRule="auto"/>
      </w:pPr>
      <w:r>
        <w:rPr>
          <w:b/>
        </w:rPr>
        <w:t>操作型定義：</w:t>
      </w:r>
    </w:p>
    <w:p>
      <w:pPr>
        <w:spacing w:after="80" w:line="276" w:lineRule="auto"/>
      </w:pPr>
      <w:r>
        <w:rPr>
          <w:b w:val="0"/>
        </w:rPr>
        <w:t>衡量前期已提出的重要目標，在本年度是否揭露目前進度。</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重大前期目標均有進度與差距說明。</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少數次要目標未更新。</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約半數重要目標有進度。</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多數前期承諾未追蹤。</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過去目標在本年度幾乎消失。</w:t>
            </w:r>
          </w:p>
        </w:tc>
      </w:tr>
    </w:tbl>
    <w:p>
      <w:pPr>
        <w:spacing w:after="40"/>
      </w:pPr>
    </w:p>
    <w:p>
      <w:pPr>
        <w:spacing w:after="20" w:line="276" w:lineRule="auto"/>
      </w:pPr>
      <w:r>
        <w:rPr>
          <w:b/>
        </w:rPr>
        <w:t>正反例：</w:t>
      </w:r>
    </w:p>
    <w:p>
      <w:pPr>
        <w:spacing w:after="80" w:line="276" w:lineRule="auto"/>
      </w:pPr>
      <w:r>
        <w:rPr>
          <w:b w:val="0"/>
        </w:rPr>
        <w:t>反例：『2030 減量 42%，截至 2025 已達 18%，進度符合路徑。』</w:t>
        <w:br/>
        <w:t>正例：2023 報告曾承諾目標，2025 報告完全不再提。</w:t>
      </w:r>
    </w:p>
    <w:p>
      <w:pPr>
        <w:spacing w:after="20" w:line="276" w:lineRule="auto"/>
      </w:pPr>
      <w:r>
        <w:rPr>
          <w:b/>
        </w:rPr>
        <w:t>AI evidence fields：</w:t>
      </w:r>
    </w:p>
    <w:p>
      <w:pPr>
        <w:spacing w:after="80" w:line="276" w:lineRule="auto"/>
      </w:pPr>
      <w:r>
        <w:rPr>
          <w:b w:val="0"/>
        </w:rPr>
        <w:t>prior_year_target, current_progress, progress_percent, status_on_track, explanation</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首次報告或首次設定目標時 NA。</w:t>
      </w:r>
    </w:p>
    <w:p>
      <w:pPr>
        <w:spacing w:after="20" w:line="276" w:lineRule="auto"/>
      </w:pPr>
      <w:r>
        <w:rPr>
          <w:b/>
        </w:rPr>
        <w:t>跨年度比較原則：</w:t>
      </w:r>
    </w:p>
    <w:p>
      <w:pPr>
        <w:spacing w:after="120" w:line="276" w:lineRule="auto"/>
      </w:pPr>
      <w:r>
        <w:rPr>
          <w:b w:val="0"/>
        </w:rPr>
        <w:t>必須至少對照前一年度；重要長期目標建議回看 2–3 年。</w:t>
      </w:r>
    </w:p>
    <w:p>
      <w:pPr>
        <w:pStyle w:val="Heading3"/>
      </w:pPr>
      <w:r>
        <w:t>TAG4　未達標目標未充分揭露或說明</w:t>
      </w:r>
    </w:p>
    <w:p>
      <w:pPr>
        <w:spacing w:after="20" w:line="276" w:lineRule="auto"/>
      </w:pPr>
      <w:r>
        <w:rPr>
          <w:b/>
        </w:rPr>
        <w:t>操作型定義：</w:t>
      </w:r>
    </w:p>
    <w:p>
      <w:pPr>
        <w:spacing w:after="80" w:line="276" w:lineRule="auto"/>
      </w:pPr>
      <w:r>
        <w:rPr>
          <w:b w:val="0"/>
        </w:rPr>
        <w:t>衡量公司在目標未達、落後或惡化時，是否坦誠揭露原因、差距與改善措施。</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未達標事項清楚揭露並解釋。</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大致揭露，改善計畫略少。</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有揭露但解釋有限。</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未達標被弱化或只模糊帶過。</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明顯存在未達標跡象但報告完全不說明。</w:t>
            </w:r>
          </w:p>
        </w:tc>
      </w:tr>
    </w:tbl>
    <w:p>
      <w:pPr>
        <w:spacing w:after="40"/>
      </w:pPr>
    </w:p>
    <w:p>
      <w:pPr>
        <w:spacing w:after="20" w:line="276" w:lineRule="auto"/>
      </w:pPr>
      <w:r>
        <w:rPr>
          <w:b/>
        </w:rPr>
        <w:t>正反例：</w:t>
      </w:r>
    </w:p>
    <w:p>
      <w:pPr>
        <w:spacing w:after="80" w:line="276" w:lineRule="auto"/>
      </w:pPr>
      <w:r>
        <w:rPr>
          <w:b w:val="0"/>
        </w:rPr>
        <w:t>反例：『因新廠投產，排放較目標高 9%；已調整 2026 設備汰換計畫。』</w:t>
        <w:br/>
        <w:t>正例：指標惡化但正文只強調其他改善成果。</w:t>
      </w:r>
    </w:p>
    <w:p>
      <w:pPr>
        <w:spacing w:after="20" w:line="276" w:lineRule="auto"/>
      </w:pPr>
      <w:r>
        <w:rPr>
          <w:b/>
        </w:rPr>
        <w:t>AI evidence fields：</w:t>
      </w:r>
    </w:p>
    <w:p>
      <w:pPr>
        <w:spacing w:after="80" w:line="276" w:lineRule="auto"/>
      </w:pPr>
      <w:r>
        <w:rPr>
          <w:b w:val="0"/>
        </w:rPr>
        <w:t>target_value, actual_value, gap, missed_target_flag, cause, corrective_action</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若當年度無任何目標未達或無法辨識是否未達，NA。</w:t>
      </w:r>
    </w:p>
    <w:p>
      <w:pPr>
        <w:spacing w:after="20" w:line="276" w:lineRule="auto"/>
      </w:pPr>
      <w:r>
        <w:rPr>
          <w:b/>
        </w:rPr>
        <w:t>跨年度比較原則：</w:t>
      </w:r>
    </w:p>
    <w:p>
      <w:pPr>
        <w:spacing w:after="120" w:line="276" w:lineRule="auto"/>
      </w:pPr>
      <w:r>
        <w:rPr>
          <w:b w:val="0"/>
        </w:rPr>
        <w:t>跨年檢查未達標事項是否在次年被刪除或改寫目標。</w:t>
      </w:r>
    </w:p>
    <w:p>
      <w:pPr>
        <w:pStyle w:val="Heading2"/>
      </w:pPr>
      <w:r>
        <w:t>D4 Selective Disclosure Risk (SDR)</w:t>
      </w:r>
    </w:p>
    <w:p>
      <w:pPr>
        <w:spacing w:after="120" w:line="276" w:lineRule="auto"/>
      </w:pPr>
      <w:r>
        <w:rPr>
          <w:b w:val="0"/>
        </w:rPr>
        <w:t>主要文獻基礎：Marquis et al. (2016); de Freitas Netto et al. (2020); Lublóy et al. (2025)</w:t>
      </w:r>
    </w:p>
    <w:p>
      <w:pPr>
        <w:pStyle w:val="Heading3"/>
      </w:pPr>
      <w:r>
        <w:t>SDR1　正面環境成果明顯比負面成果更突出</w:t>
      </w:r>
    </w:p>
    <w:p>
      <w:pPr>
        <w:spacing w:after="20" w:line="276" w:lineRule="auto"/>
      </w:pPr>
      <w:r>
        <w:rPr>
          <w:b/>
        </w:rPr>
        <w:t>操作型定義：</w:t>
      </w:r>
    </w:p>
    <w:p>
      <w:pPr>
        <w:spacing w:after="80" w:line="276" w:lineRule="auto"/>
      </w:pPr>
      <w:r>
        <w:rPr>
          <w:b w:val="0"/>
        </w:rPr>
        <w:t>衡量報告對正面與負面環境績效是否存在明顯呈現不對稱，包括篇幅、標題、圖表與敘述強度。</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正負資訊揭露平衡。</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略偏正面但負面資訊仍清楚。</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正面內容較突出，負面內容較簡略。</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負面資訊明顯弱化。</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整體呈現幾乎只剩正面成果。</w:t>
            </w:r>
          </w:p>
        </w:tc>
      </w:tr>
    </w:tbl>
    <w:p>
      <w:pPr>
        <w:spacing w:after="40"/>
      </w:pPr>
    </w:p>
    <w:p>
      <w:pPr>
        <w:spacing w:after="20" w:line="276" w:lineRule="auto"/>
      </w:pPr>
      <w:r>
        <w:rPr>
          <w:b/>
        </w:rPr>
        <w:t>正反例：</w:t>
      </w:r>
    </w:p>
    <w:p>
      <w:pPr>
        <w:spacing w:after="80" w:line="276" w:lineRule="auto"/>
      </w:pPr>
      <w:r>
        <w:rPr>
          <w:b w:val="0"/>
        </w:rPr>
        <w:t>反例：同時揭露改善與惡化 KPI 並說明原因。</w:t>
        <w:br/>
        <w:t>正例：首頁大幅宣傳節能成果，排放增加僅藏於附表。</w:t>
      </w:r>
    </w:p>
    <w:p>
      <w:pPr>
        <w:spacing w:after="20" w:line="276" w:lineRule="auto"/>
      </w:pPr>
      <w:r>
        <w:rPr>
          <w:b/>
        </w:rPr>
        <w:t>AI evidence fields：</w:t>
      </w:r>
    </w:p>
    <w:p>
      <w:pPr>
        <w:spacing w:after="80" w:line="276" w:lineRule="auto"/>
      </w:pPr>
      <w:r>
        <w:rPr>
          <w:b w:val="0"/>
        </w:rPr>
        <w:t>positive_kpi_count, negative_kpi_count, positive_prominence, negative_prominence, negative_explanations</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若本年度所有重大指標確實均改善，不能因缺乏負面資訊扣分；需查核跨年數據後判斷。</w:t>
      </w:r>
    </w:p>
    <w:p>
      <w:pPr>
        <w:spacing w:after="20" w:line="276" w:lineRule="auto"/>
      </w:pPr>
      <w:r>
        <w:rPr>
          <w:b/>
        </w:rPr>
        <w:t>跨年度比較原則：</w:t>
      </w:r>
    </w:p>
    <w:p>
      <w:pPr>
        <w:spacing w:after="120" w:line="276" w:lineRule="auto"/>
      </w:pPr>
      <w:r>
        <w:rPr>
          <w:b w:val="0"/>
        </w:rPr>
        <w:t>比較各年負面資訊的篇幅與可見度是否異常下降。</w:t>
      </w:r>
    </w:p>
    <w:p>
      <w:pPr>
        <w:pStyle w:val="Heading3"/>
      </w:pPr>
      <w:r>
        <w:t>SDR2　重大負面環境變動未充分說明</w:t>
      </w:r>
    </w:p>
    <w:p>
      <w:pPr>
        <w:spacing w:after="20" w:line="276" w:lineRule="auto"/>
      </w:pPr>
      <w:r>
        <w:rPr>
          <w:b/>
        </w:rPr>
        <w:t>操作型定義：</w:t>
      </w:r>
    </w:p>
    <w:p>
      <w:pPr>
        <w:spacing w:after="80" w:line="276" w:lineRule="auto"/>
      </w:pPr>
      <w:r>
        <w:rPr>
          <w:b w:val="0"/>
        </w:rPr>
        <w:t>衡量重要環境 KPI 惡化時，公司是否提供原因、影響與改善措施。</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所有重大惡化均有充分解釋。</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少數惡化解釋不足。</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約半數惡化有說明。</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多數重大惡化未說明。</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重大惡化被完全忽略或刻意弱化。</w:t>
            </w:r>
          </w:p>
        </w:tc>
      </w:tr>
    </w:tbl>
    <w:p>
      <w:pPr>
        <w:spacing w:after="40"/>
      </w:pPr>
    </w:p>
    <w:p>
      <w:pPr>
        <w:spacing w:after="20" w:line="276" w:lineRule="auto"/>
      </w:pPr>
      <w:r>
        <w:rPr>
          <w:b/>
        </w:rPr>
        <w:t>正反例：</w:t>
      </w:r>
    </w:p>
    <w:p>
      <w:pPr>
        <w:spacing w:after="80" w:line="276" w:lineRule="auto"/>
      </w:pPr>
      <w:r>
        <w:rPr>
          <w:b w:val="0"/>
        </w:rPr>
        <w:t>反例：能源使用增加並解釋新廠投產與後續改善計畫。</w:t>
        <w:br/>
        <w:t>正例：用水增加 35% 但正文無解釋。</w:t>
      </w:r>
    </w:p>
    <w:p>
      <w:pPr>
        <w:spacing w:after="20" w:line="276" w:lineRule="auto"/>
      </w:pPr>
      <w:r>
        <w:rPr>
          <w:b/>
        </w:rPr>
        <w:t>AI evidence fields：</w:t>
      </w:r>
    </w:p>
    <w:p>
      <w:pPr>
        <w:spacing w:after="80" w:line="276" w:lineRule="auto"/>
      </w:pPr>
      <w:r>
        <w:rPr>
          <w:b w:val="0"/>
        </w:rPr>
        <w:t>negative_metric, year_on_year_change, materiality, cause, impact, corrective_action</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若無重大負面變動，NA。</w:t>
      </w:r>
    </w:p>
    <w:p>
      <w:pPr>
        <w:spacing w:after="20" w:line="276" w:lineRule="auto"/>
      </w:pPr>
      <w:r>
        <w:rPr>
          <w:b/>
        </w:rPr>
        <w:t>跨年度比較原則：</w:t>
      </w:r>
    </w:p>
    <w:p>
      <w:pPr>
        <w:spacing w:after="120" w:line="276" w:lineRule="auto"/>
      </w:pPr>
      <w:r>
        <w:rPr>
          <w:b w:val="0"/>
        </w:rPr>
        <w:t>至少比較前一年度；若公司跨年變更口徑，需排除口徑變動造成的假性惡化。</w:t>
      </w:r>
    </w:p>
    <w:p>
      <w:pPr>
        <w:pStyle w:val="Heading3"/>
      </w:pPr>
      <w:r>
        <w:t>SDR3　重要排放、污染或資源指標存在揭露缺口</w:t>
      </w:r>
    </w:p>
    <w:p>
      <w:pPr>
        <w:spacing w:after="20" w:line="276" w:lineRule="auto"/>
      </w:pPr>
      <w:r>
        <w:rPr>
          <w:b/>
        </w:rPr>
        <w:t>操作型定義：</w:t>
      </w:r>
    </w:p>
    <w:p>
      <w:pPr>
        <w:spacing w:after="80" w:line="276" w:lineRule="auto"/>
      </w:pPr>
      <w:r>
        <w:rPr>
          <w:b w:val="0"/>
        </w:rPr>
        <w:t>衡量與公司重大環境議題相關的核心 KPI 是否缺漏，包括 Scope 1–3、能源、水、廢棄物、污染排放等。</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重大議題核心 KPI 完整。</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僅少數次要 KPI 缺漏。</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至少一項重要 KPI 缺漏或部分揭露。</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多項重要 KPI 缺漏。</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核心重大環境議題幾乎未量化揭露。</w:t>
            </w:r>
          </w:p>
        </w:tc>
      </w:tr>
    </w:tbl>
    <w:p>
      <w:pPr>
        <w:spacing w:after="40"/>
      </w:pPr>
    </w:p>
    <w:p>
      <w:pPr>
        <w:spacing w:after="20" w:line="276" w:lineRule="auto"/>
      </w:pPr>
      <w:r>
        <w:rPr>
          <w:b/>
        </w:rPr>
        <w:t>正反例：</w:t>
      </w:r>
    </w:p>
    <w:p>
      <w:pPr>
        <w:spacing w:after="80" w:line="276" w:lineRule="auto"/>
      </w:pPr>
      <w:r>
        <w:rPr>
          <w:b w:val="0"/>
        </w:rPr>
        <w:t>反例：對公司重大議題提供完整 GHG、能源、水與廢棄物資料。</w:t>
        <w:br/>
        <w:t>正例：高碳排產業完全不揭露 Scope 1–2，卻大量強調公益植樹。</w:t>
      </w:r>
    </w:p>
    <w:p>
      <w:pPr>
        <w:spacing w:after="20" w:line="276" w:lineRule="auto"/>
      </w:pPr>
      <w:r>
        <w:rPr>
          <w:b/>
        </w:rPr>
        <w:t>AI evidence fields：</w:t>
      </w:r>
    </w:p>
    <w:p>
      <w:pPr>
        <w:spacing w:after="80" w:line="276" w:lineRule="auto"/>
      </w:pPr>
      <w:r>
        <w:rPr>
          <w:b w:val="0"/>
        </w:rPr>
        <w:t>material_topics, required_core_kpis, reported_kpis, missing_kpis, scope1, scope2, scope3, water, waste, pollutants</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若該 KPI 對該產業明確不具重大性，應標示 Non-material 並 NA，不可機械式扣分。</w:t>
      </w:r>
    </w:p>
    <w:p>
      <w:pPr>
        <w:spacing w:after="20" w:line="276" w:lineRule="auto"/>
      </w:pPr>
      <w:r>
        <w:rPr>
          <w:b/>
        </w:rPr>
        <w:t>跨年度比較原則：</w:t>
      </w:r>
    </w:p>
    <w:p>
      <w:pPr>
        <w:spacing w:after="120" w:line="276" w:lineRule="auto"/>
      </w:pPr>
      <w:r>
        <w:rPr>
          <w:b w:val="0"/>
        </w:rPr>
        <w:t>追蹤同一 KPI 是否突然消失；若前期有揭露、今年取消且無解釋，風險上升。</w:t>
      </w:r>
    </w:p>
    <w:p>
      <w:pPr>
        <w:pStyle w:val="Heading3"/>
      </w:pPr>
      <w:r>
        <w:t>SDR4　使用局部改善形成整體環境改善印象</w:t>
      </w:r>
    </w:p>
    <w:p>
      <w:pPr>
        <w:spacing w:after="20" w:line="276" w:lineRule="auto"/>
      </w:pPr>
      <w:r>
        <w:rPr>
          <w:b/>
        </w:rPr>
        <w:t>操作型定義：</w:t>
      </w:r>
    </w:p>
    <w:p>
      <w:pPr>
        <w:spacing w:after="80" w:line="276" w:lineRule="auto"/>
      </w:pPr>
      <w:r>
        <w:rPr>
          <w:b w:val="0"/>
        </w:rPr>
        <w:t>衡量公司是否以單一廠區、單一專案或小範圍成果，暗示公司整體環境績效改善。</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局部與整體範圍標示清楚。</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少數敘述略有泛化。</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部分局部成果被放大。</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多數正面敘述以局部資料代表整體。</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高度依賴小範圍案例製造整體改善印象。</w:t>
            </w:r>
          </w:p>
        </w:tc>
      </w:tr>
    </w:tbl>
    <w:p>
      <w:pPr>
        <w:spacing w:after="40"/>
      </w:pPr>
    </w:p>
    <w:p>
      <w:pPr>
        <w:spacing w:after="20" w:line="276" w:lineRule="auto"/>
      </w:pPr>
      <w:r>
        <w:rPr>
          <w:b/>
        </w:rPr>
        <w:t>正反例：</w:t>
      </w:r>
    </w:p>
    <w:p>
      <w:pPr>
        <w:spacing w:after="80" w:line="276" w:lineRule="auto"/>
      </w:pPr>
      <w:r>
        <w:rPr>
          <w:b w:val="0"/>
        </w:rPr>
        <w:t>反例：明確標示『僅適用台中廠，占總產量 12%』。</w:t>
        <w:br/>
        <w:t>正例：以單一示範廠減排 20% 宣稱『公司減碳成效卓越』。</w:t>
      </w:r>
    </w:p>
    <w:p>
      <w:pPr>
        <w:spacing w:after="20" w:line="276" w:lineRule="auto"/>
      </w:pPr>
      <w:r>
        <w:rPr>
          <w:b/>
        </w:rPr>
        <w:t>AI evidence fields：</w:t>
      </w:r>
    </w:p>
    <w:p>
      <w:pPr>
        <w:spacing w:after="80" w:line="276" w:lineRule="auto"/>
      </w:pPr>
      <w:r>
        <w:rPr>
          <w:b w:val="0"/>
        </w:rPr>
        <w:t>claim_scope, evidence_scope, company_total_scope, coverage_percent, generalization_flag</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若企業只有單一營運據點，局部／整體問題不適用，可 NA。</w:t>
      </w:r>
    </w:p>
    <w:p>
      <w:pPr>
        <w:spacing w:after="20" w:line="276" w:lineRule="auto"/>
      </w:pPr>
      <w:r>
        <w:rPr>
          <w:b/>
        </w:rPr>
        <w:t>跨年度比較原則：</w:t>
      </w:r>
    </w:p>
    <w:p>
      <w:pPr>
        <w:spacing w:after="120" w:line="276" w:lineRule="auto"/>
      </w:pPr>
      <w:r>
        <w:rPr>
          <w:b w:val="0"/>
        </w:rPr>
        <w:t>檢查正面案例 coverage 是否逐年下降但宣稱仍保持整體化。</w:t>
      </w:r>
    </w:p>
    <w:p>
      <w:pPr>
        <w:pStyle w:val="Heading2"/>
      </w:pPr>
      <w:r>
        <w:t>D5 Verification &amp; Reliability Gap (VRG)</w:t>
      </w:r>
    </w:p>
    <w:p>
      <w:pPr>
        <w:spacing w:after="120" w:line="276" w:lineRule="auto"/>
      </w:pPr>
      <w:r>
        <w:rPr>
          <w:b w:val="0"/>
        </w:rPr>
        <w:t>主要文獻基礎：Michelon et al. (2015); Gorovaia &amp; Makrominas (2025)</w:t>
      </w:r>
    </w:p>
    <w:p>
      <w:pPr>
        <w:pStyle w:val="Heading3"/>
      </w:pPr>
      <w:r>
        <w:t>VRG1　重大環境 KPI 缺乏第三方驗證</w:t>
      </w:r>
    </w:p>
    <w:p>
      <w:pPr>
        <w:spacing w:after="20" w:line="276" w:lineRule="auto"/>
      </w:pPr>
      <w:r>
        <w:rPr>
          <w:b/>
        </w:rPr>
        <w:t>操作型定義：</w:t>
      </w:r>
    </w:p>
    <w:p>
      <w:pPr>
        <w:spacing w:after="80" w:line="276" w:lineRule="auto"/>
      </w:pPr>
      <w:r>
        <w:rPr>
          <w:b w:val="0"/>
        </w:rPr>
        <w:t>衡量重大環境數據是否經外部 assurance／verification，尤其是溫室氣體與關鍵 KPI。</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重大 KPI 多數經外部驗證。</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主要 KPI 有驗證，少數未涵蓋。</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僅部分重大 KPI 驗證。</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大多數重大 KPI 未驗證。</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完全無第三方驗證且公司仍高度依賴自我宣稱。</w:t>
            </w:r>
          </w:p>
        </w:tc>
      </w:tr>
    </w:tbl>
    <w:p>
      <w:pPr>
        <w:spacing w:after="40"/>
      </w:pPr>
    </w:p>
    <w:p>
      <w:pPr>
        <w:spacing w:after="20" w:line="276" w:lineRule="auto"/>
      </w:pPr>
      <w:r>
        <w:rPr>
          <w:b/>
        </w:rPr>
        <w:t>正反例：</w:t>
      </w:r>
    </w:p>
    <w:p>
      <w:pPr>
        <w:spacing w:after="80" w:line="276" w:lineRule="auto"/>
      </w:pPr>
      <w:r>
        <w:rPr>
          <w:b w:val="0"/>
        </w:rPr>
        <w:t>反例：Scope 1–2 與主要水／能源數據經第三方查證。</w:t>
        <w:br/>
        <w:t>正例：報告大量強調減碳成果，但無任何 assurance／verification。</w:t>
      </w:r>
    </w:p>
    <w:p>
      <w:pPr>
        <w:spacing w:after="20" w:line="276" w:lineRule="auto"/>
      </w:pPr>
      <w:r>
        <w:rPr>
          <w:b/>
        </w:rPr>
        <w:t>AI evidence fields：</w:t>
      </w:r>
    </w:p>
    <w:p>
      <w:pPr>
        <w:spacing w:after="80" w:line="276" w:lineRule="auto"/>
      </w:pPr>
      <w:r>
        <w:rPr>
          <w:b w:val="0"/>
        </w:rPr>
        <w:t>assurance_provider, assurance_standard, verified_kpis, unverified_kpis, verification_statement</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若法規或產業慣例對某 KPI 尚無合理第三方驗證方式，可 NA 或降低重要性。</w:t>
      </w:r>
    </w:p>
    <w:p>
      <w:pPr>
        <w:spacing w:after="20" w:line="276" w:lineRule="auto"/>
      </w:pPr>
      <w:r>
        <w:rPr>
          <w:b/>
        </w:rPr>
        <w:t>跨年度比較原則：</w:t>
      </w:r>
    </w:p>
    <w:p>
      <w:pPr>
        <w:spacing w:after="120" w:line="276" w:lineRule="auto"/>
      </w:pPr>
      <w:r>
        <w:rPr>
          <w:b w:val="0"/>
        </w:rPr>
        <w:t>比較驗證範圍是否逐年擴大或縮小。</w:t>
      </w:r>
    </w:p>
    <w:p>
      <w:pPr>
        <w:pStyle w:val="Heading3"/>
      </w:pPr>
      <w:r>
        <w:t>VRG2　Assurance coverage 不明或有限</w:t>
      </w:r>
    </w:p>
    <w:p>
      <w:pPr>
        <w:spacing w:after="20" w:line="276" w:lineRule="auto"/>
      </w:pPr>
      <w:r>
        <w:rPr>
          <w:b/>
        </w:rPr>
        <w:t>操作型定義：</w:t>
      </w:r>
    </w:p>
    <w:p>
      <w:pPr>
        <w:spacing w:after="80" w:line="276" w:lineRule="auto"/>
      </w:pPr>
      <w:r>
        <w:rPr>
          <w:b w:val="0"/>
        </w:rPr>
        <w:t>衡量 assurance 是否清楚說明涵蓋哪些章節、公司範圍、KPI 與 assurance level。</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coverage 與 assurance level 完整清楚。</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少量細節不清。</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僅列部分涵蓋範圍。</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coverage 非常有限或模糊。</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只宣稱『經查證』但完全無法知道查證什麼。</w:t>
            </w:r>
          </w:p>
        </w:tc>
      </w:tr>
    </w:tbl>
    <w:p>
      <w:pPr>
        <w:spacing w:after="40"/>
      </w:pPr>
    </w:p>
    <w:p>
      <w:pPr>
        <w:spacing w:after="20" w:line="276" w:lineRule="auto"/>
      </w:pPr>
      <w:r>
        <w:rPr>
          <w:b/>
        </w:rPr>
        <w:t>正反例：</w:t>
      </w:r>
    </w:p>
    <w:p>
      <w:pPr>
        <w:spacing w:after="80" w:line="276" w:lineRule="auto"/>
      </w:pPr>
      <w:r>
        <w:rPr>
          <w:b w:val="0"/>
        </w:rPr>
        <w:t>反例：附 assurance statement，明列 KPI、範圍與 limited/reasonable assurance。</w:t>
        <w:br/>
        <w:t>正例：只放查證機構 logo。</w:t>
      </w:r>
    </w:p>
    <w:p>
      <w:pPr>
        <w:spacing w:after="20" w:line="276" w:lineRule="auto"/>
      </w:pPr>
      <w:r>
        <w:rPr>
          <w:b/>
        </w:rPr>
        <w:t>AI evidence fields：</w:t>
      </w:r>
    </w:p>
    <w:p>
      <w:pPr>
        <w:spacing w:after="80" w:line="276" w:lineRule="auto"/>
      </w:pPr>
      <w:r>
        <w:rPr>
          <w:b w:val="0"/>
        </w:rPr>
        <w:t>assurance_scope, assurance_level, covered_entities, covered_kpis, exclusions</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若完全無 assurance，VRG1 可評分；VRG2 原則上 NA，避免重複處罰。</w:t>
      </w:r>
    </w:p>
    <w:p>
      <w:pPr>
        <w:spacing w:after="20" w:line="276" w:lineRule="auto"/>
      </w:pPr>
      <w:r>
        <w:rPr>
          <w:b/>
        </w:rPr>
        <w:t>跨年度比較原則：</w:t>
      </w:r>
    </w:p>
    <w:p>
      <w:pPr>
        <w:spacing w:after="120" w:line="276" w:lineRule="auto"/>
      </w:pPr>
      <w:r>
        <w:rPr>
          <w:b w:val="0"/>
        </w:rPr>
        <w:t>跨年檢查 assurance coverage 是否縮減而未說明。</w:t>
      </w:r>
    </w:p>
    <w:p>
      <w:pPr>
        <w:pStyle w:val="Heading3"/>
      </w:pPr>
      <w:r>
        <w:t>VRG3　宣稱之資料來源或計算方法不透明</w:t>
      </w:r>
    </w:p>
    <w:p>
      <w:pPr>
        <w:spacing w:after="20" w:line="276" w:lineRule="auto"/>
      </w:pPr>
      <w:r>
        <w:rPr>
          <w:b/>
        </w:rPr>
        <w:t>操作型定義：</w:t>
      </w:r>
    </w:p>
    <w:p>
      <w:pPr>
        <w:spacing w:after="80" w:line="276" w:lineRule="auto"/>
      </w:pPr>
      <w:r>
        <w:rPr>
          <w:b w:val="0"/>
        </w:rPr>
        <w:t>衡量重要環境數據是否說明計算標準、方法、排放係數、資料來源或估計方式。</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方法與來源完整。</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少量細節缺漏。</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 KPI 方法不清。</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 KPI 缺乏方法說明。</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幾乎無法重現或理解數據如何計算。</w:t>
            </w:r>
          </w:p>
        </w:tc>
      </w:tr>
    </w:tbl>
    <w:p>
      <w:pPr>
        <w:spacing w:after="40"/>
      </w:pPr>
    </w:p>
    <w:p>
      <w:pPr>
        <w:spacing w:after="20" w:line="276" w:lineRule="auto"/>
      </w:pPr>
      <w:r>
        <w:rPr>
          <w:b/>
        </w:rPr>
        <w:t>正反例：</w:t>
      </w:r>
    </w:p>
    <w:p>
      <w:pPr>
        <w:spacing w:after="80" w:line="276" w:lineRule="auto"/>
      </w:pPr>
      <w:r>
        <w:rPr>
          <w:b w:val="0"/>
        </w:rPr>
        <w:t>反例：說明 GHG Protocol、排放係數來源與估算方式。</w:t>
        <w:br/>
        <w:t>正例：只列『減碳 12%』，完全無方法。</w:t>
      </w:r>
    </w:p>
    <w:p>
      <w:pPr>
        <w:spacing w:after="20" w:line="276" w:lineRule="auto"/>
      </w:pPr>
      <w:r>
        <w:rPr>
          <w:b/>
        </w:rPr>
        <w:t>AI evidence fields：</w:t>
      </w:r>
    </w:p>
    <w:p>
      <w:pPr>
        <w:spacing w:after="80" w:line="276" w:lineRule="auto"/>
      </w:pPr>
      <w:r>
        <w:rPr>
          <w:b w:val="0"/>
        </w:rPr>
        <w:t>methodology, standard_used, emission_factor_source, data_source, estimation_method, restatement_method</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若數據為簡單直接量測且方法無重大歧義，可降低要求；仍應有來源。</w:t>
      </w:r>
    </w:p>
    <w:p>
      <w:pPr>
        <w:spacing w:after="20" w:line="276" w:lineRule="auto"/>
      </w:pPr>
      <w:r>
        <w:rPr>
          <w:b/>
        </w:rPr>
        <w:t>跨年度比較原則：</w:t>
      </w:r>
    </w:p>
    <w:p>
      <w:pPr>
        <w:spacing w:after="120" w:line="276" w:lineRule="auto"/>
      </w:pPr>
      <w:r>
        <w:rPr>
          <w:b w:val="0"/>
        </w:rPr>
        <w:t>檢查方法是否跨年變更及是否揭露重算。</w:t>
      </w:r>
    </w:p>
    <w:p>
      <w:pPr>
        <w:pStyle w:val="Heading3"/>
      </w:pPr>
      <w:r>
        <w:t>VRG4　重要環境數據缺乏可追溯性</w:t>
      </w:r>
    </w:p>
    <w:p>
      <w:pPr>
        <w:spacing w:after="20" w:line="276" w:lineRule="auto"/>
      </w:pPr>
      <w:r>
        <w:rPr>
          <w:b/>
        </w:rPr>
        <w:t>操作型定義：</w:t>
      </w:r>
    </w:p>
    <w:p>
      <w:pPr>
        <w:spacing w:after="80" w:line="276" w:lineRule="auto"/>
      </w:pPr>
      <w:r>
        <w:rPr>
          <w:b w:val="0"/>
        </w:rPr>
        <w:t>衡量外部讀者是否能從報告附錄、索引、查證聲明或資料表追溯到環境 KPI 的來源與範圍。</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主要 KPI 可完整追溯。</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 KPI 追溯較困難。</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約半數 KPI 可追溯。</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 KPI 無明確來源鏈。</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幾乎所有重要數據都是孤立數字。</w:t>
            </w:r>
          </w:p>
        </w:tc>
      </w:tr>
    </w:tbl>
    <w:p>
      <w:pPr>
        <w:spacing w:after="40"/>
      </w:pPr>
    </w:p>
    <w:p>
      <w:pPr>
        <w:spacing w:after="20" w:line="276" w:lineRule="auto"/>
      </w:pPr>
      <w:r>
        <w:rPr>
          <w:b/>
        </w:rPr>
        <w:t>正反例：</w:t>
      </w:r>
    </w:p>
    <w:p>
      <w:pPr>
        <w:spacing w:after="80" w:line="276" w:lineRule="auto"/>
      </w:pPr>
      <w:r>
        <w:rPr>
          <w:b w:val="0"/>
        </w:rPr>
        <w:t>反例：KPI 表列來源章節、查證範圍與計算註記。</w:t>
        <w:br/>
        <w:t>正例：圖表數字沒有來源、範圍或附註。</w:t>
      </w:r>
    </w:p>
    <w:p>
      <w:pPr>
        <w:spacing w:after="20" w:line="276" w:lineRule="auto"/>
      </w:pPr>
      <w:r>
        <w:rPr>
          <w:b/>
        </w:rPr>
        <w:t>AI evidence fields：</w:t>
      </w:r>
    </w:p>
    <w:p>
      <w:pPr>
        <w:spacing w:after="80" w:line="276" w:lineRule="auto"/>
      </w:pPr>
      <w:r>
        <w:rPr>
          <w:b w:val="0"/>
        </w:rPr>
        <w:t>kpi_table_reference, appendix_reference, assurance_reference, source_note, traceability_flag</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若報告本身結構嚴重損壞導致頁碼或表格不可辨識，NA。</w:t>
      </w:r>
    </w:p>
    <w:p>
      <w:pPr>
        <w:spacing w:after="20" w:line="276" w:lineRule="auto"/>
      </w:pPr>
      <w:r>
        <w:rPr>
          <w:b/>
        </w:rPr>
        <w:t>跨年度比較原則：</w:t>
      </w:r>
    </w:p>
    <w:p>
      <w:pPr>
        <w:spacing w:after="120" w:line="276" w:lineRule="auto"/>
      </w:pPr>
      <w:r>
        <w:rPr>
          <w:b w:val="0"/>
        </w:rPr>
        <w:t>跨年檢查同一 KPI 的定義與表格位置是否一致；不一致時需確認是否為定義變更。</w:t>
      </w:r>
    </w:p>
    <w:p>
      <w:pPr>
        <w:pStyle w:val="Heading2"/>
      </w:pPr>
      <w:r>
        <w:t>D6 Vagueness &amp; Ambiguity Gap (VAG)</w:t>
      </w:r>
    </w:p>
    <w:p>
      <w:pPr>
        <w:spacing w:after="120" w:line="276" w:lineRule="auto"/>
      </w:pPr>
      <w:r>
        <w:rPr>
          <w:b w:val="0"/>
        </w:rPr>
        <w:t>主要文獻基礎：de Freitas Netto et al. (2020); Michelon et al. (2015)</w:t>
      </w:r>
    </w:p>
    <w:p>
      <w:pPr>
        <w:pStyle w:val="Heading3"/>
      </w:pPr>
      <w:r>
        <w:t>VAG1　大量使用抽象環境承諾而無具體定義</w:t>
      </w:r>
    </w:p>
    <w:p>
      <w:pPr>
        <w:spacing w:after="20" w:line="276" w:lineRule="auto"/>
      </w:pPr>
      <w:r>
        <w:rPr>
          <w:b/>
        </w:rPr>
        <w:t>操作型定義：</w:t>
      </w:r>
    </w:p>
    <w:p>
      <w:pPr>
        <w:spacing w:after="80" w:line="276" w:lineRule="auto"/>
      </w:pPr>
      <w:r>
        <w:rPr>
          <w:b w:val="0"/>
        </w:rPr>
        <w:t>衡量企業是否大量使用願景式環境承諾，卻沒有界定其意義、範圍或可衡量結果。</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抽象承諾少，且均有具體化。</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有少量抽象語言但不影響判斷。</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抽象與具體內容約各半。</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多數環境敘述偏抽象。</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主要環境敘事幾乎都是不可驗證承諾。</w:t>
            </w:r>
          </w:p>
        </w:tc>
      </w:tr>
    </w:tbl>
    <w:p>
      <w:pPr>
        <w:spacing w:after="40"/>
      </w:pPr>
    </w:p>
    <w:p>
      <w:pPr>
        <w:spacing w:after="20" w:line="276" w:lineRule="auto"/>
      </w:pPr>
      <w:r>
        <w:rPr>
          <w:b/>
        </w:rPr>
        <w:t>正反例：</w:t>
      </w:r>
    </w:p>
    <w:p>
      <w:pPr>
        <w:spacing w:after="80" w:line="276" w:lineRule="auto"/>
      </w:pPr>
      <w:r>
        <w:rPr>
          <w:b w:val="0"/>
        </w:rPr>
        <w:t>反例：『綠色製造』明確定義為能源、排放與廢棄物三項 KPI。</w:t>
        <w:br/>
        <w:t>正例：『打造世界級綠色企業』但無定義。</w:t>
      </w:r>
    </w:p>
    <w:p>
      <w:pPr>
        <w:spacing w:after="20" w:line="276" w:lineRule="auto"/>
      </w:pPr>
      <w:r>
        <w:rPr>
          <w:b/>
        </w:rPr>
        <w:t>AI evidence fields：</w:t>
      </w:r>
    </w:p>
    <w:p>
      <w:pPr>
        <w:spacing w:after="80" w:line="276" w:lineRule="auto"/>
      </w:pPr>
      <w:r>
        <w:rPr>
          <w:b w:val="0"/>
        </w:rPr>
        <w:t>vague_claims, defined_terms, scope_definition, measurable_link, vague_claim_count</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若報告環境章節很短、樣本不足，NA。</w:t>
      </w:r>
    </w:p>
    <w:p>
      <w:pPr>
        <w:spacing w:after="20" w:line="276" w:lineRule="auto"/>
      </w:pPr>
      <w:r>
        <w:rPr>
          <w:b/>
        </w:rPr>
        <w:t>跨年度比較原則：</w:t>
      </w:r>
    </w:p>
    <w:p>
      <w:pPr>
        <w:spacing w:after="120" w:line="276" w:lineRule="auto"/>
      </w:pPr>
      <w:r>
        <w:rPr>
          <w:b w:val="0"/>
        </w:rPr>
        <w:t>比較抽象語句比例是否逐年增加。</w:t>
      </w:r>
    </w:p>
    <w:p>
      <w:pPr>
        <w:pStyle w:val="Heading3"/>
      </w:pPr>
      <w:r>
        <w:t>VAG2　「提升、積極、持續」等語句缺乏 KPI 支持</w:t>
      </w:r>
    </w:p>
    <w:p>
      <w:pPr>
        <w:spacing w:after="20" w:line="276" w:lineRule="auto"/>
      </w:pPr>
      <w:r>
        <w:rPr>
          <w:b/>
        </w:rPr>
        <w:t>操作型定義：</w:t>
      </w:r>
    </w:p>
    <w:p>
      <w:pPr>
        <w:spacing w:after="80" w:line="276" w:lineRule="auto"/>
      </w:pPr>
      <w:r>
        <w:rPr>
          <w:b w:val="0"/>
        </w:rPr>
        <w:t>衡量具有方向性但無量化支持的動詞或形容詞是否被頻繁用於重大環境主張。</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方向性語句幾乎都有 KPI 支持。</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少數無 KPI。</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約半數有 KPI 支持。</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多數方向性語句無 KPI。</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大量使用提升／積極／持續等詞但無績效資料。</w:t>
            </w:r>
          </w:p>
        </w:tc>
      </w:tr>
    </w:tbl>
    <w:p>
      <w:pPr>
        <w:spacing w:after="40"/>
      </w:pPr>
    </w:p>
    <w:p>
      <w:pPr>
        <w:spacing w:after="20" w:line="276" w:lineRule="auto"/>
      </w:pPr>
      <w:r>
        <w:rPr>
          <w:b/>
        </w:rPr>
        <w:t>正反例：</w:t>
      </w:r>
    </w:p>
    <w:p>
      <w:pPr>
        <w:spacing w:after="80" w:line="276" w:lineRule="auto"/>
      </w:pPr>
      <w:r>
        <w:rPr>
          <w:b w:val="0"/>
        </w:rPr>
        <w:t>反例：『持續降低排放』後緊接三年排放趨勢。</w:t>
        <w:br/>
        <w:t>正例：『持續提升能源效率』無任何能源效率 KPI。</w:t>
      </w:r>
    </w:p>
    <w:p>
      <w:pPr>
        <w:spacing w:after="20" w:line="276" w:lineRule="auto"/>
      </w:pPr>
      <w:r>
        <w:rPr>
          <w:b/>
        </w:rPr>
        <w:t>AI evidence fields：</w:t>
      </w:r>
    </w:p>
    <w:p>
      <w:pPr>
        <w:spacing w:after="80" w:line="276" w:lineRule="auto"/>
      </w:pPr>
      <w:r>
        <w:rPr>
          <w:b w:val="0"/>
        </w:rPr>
        <w:t>directional_terms, supported_by_kpi, linked_metric, support_ratio</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若該語句僅是章節標題或一般政策用語，不納入計分。</w:t>
      </w:r>
    </w:p>
    <w:p>
      <w:pPr>
        <w:spacing w:after="20" w:line="276" w:lineRule="auto"/>
      </w:pPr>
      <w:r>
        <w:rPr>
          <w:b/>
        </w:rPr>
        <w:t>跨年度比較原則：</w:t>
      </w:r>
    </w:p>
    <w:p>
      <w:pPr>
        <w:spacing w:after="120" w:line="276" w:lineRule="auto"/>
      </w:pPr>
      <w:r>
        <w:rPr>
          <w:b w:val="0"/>
        </w:rPr>
        <w:t>比較 KPI support ratio 跨年變化。</w:t>
      </w:r>
    </w:p>
    <w:p>
      <w:pPr>
        <w:pStyle w:val="Heading3"/>
      </w:pPr>
      <w:r>
        <w:t>VAG3　環境效益使用模糊或無法驗證的描述</w:t>
      </w:r>
    </w:p>
    <w:p>
      <w:pPr>
        <w:spacing w:after="20" w:line="276" w:lineRule="auto"/>
      </w:pPr>
      <w:r>
        <w:rPr>
          <w:b/>
        </w:rPr>
        <w:t>操作型定義：</w:t>
      </w:r>
    </w:p>
    <w:p>
      <w:pPr>
        <w:spacing w:after="80" w:line="276" w:lineRule="auto"/>
      </w:pPr>
      <w:r>
        <w:rPr>
          <w:b w:val="0"/>
        </w:rPr>
        <w:t>衡量公司是否使用『環保、低碳、綠色、友善、永續』等效益詞，但未說明衡量依據。</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效益詞均有定義或證據。</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少數模糊效益詞。</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部分重要效益描述不可驗證。</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多數效益宣稱模糊。</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主要環境優勢都建立在不可驗證描述上。</w:t>
            </w:r>
          </w:p>
        </w:tc>
      </w:tr>
    </w:tbl>
    <w:p>
      <w:pPr>
        <w:spacing w:after="40"/>
      </w:pPr>
    </w:p>
    <w:p>
      <w:pPr>
        <w:spacing w:after="20" w:line="276" w:lineRule="auto"/>
      </w:pPr>
      <w:r>
        <w:rPr>
          <w:b/>
        </w:rPr>
        <w:t>正反例：</w:t>
      </w:r>
    </w:p>
    <w:p>
      <w:pPr>
        <w:spacing w:after="80" w:line="276" w:lineRule="auto"/>
      </w:pPr>
      <w:r>
        <w:rPr>
          <w:b w:val="0"/>
        </w:rPr>
        <w:t>反例：『低碳產品』定義為產品碳足跡較基準產品低 30%。</w:t>
        <w:br/>
        <w:t>正例：『綠色產品占比提升』但綠色產品定義不明。</w:t>
      </w:r>
    </w:p>
    <w:p>
      <w:pPr>
        <w:spacing w:after="20" w:line="276" w:lineRule="auto"/>
      </w:pPr>
      <w:r>
        <w:rPr>
          <w:b/>
        </w:rPr>
        <w:t>AI evidence fields：</w:t>
      </w:r>
    </w:p>
    <w:p>
      <w:pPr>
        <w:spacing w:after="80" w:line="276" w:lineRule="auto"/>
      </w:pPr>
      <w:r>
        <w:rPr>
          <w:b w:val="0"/>
        </w:rPr>
        <w:t>benefit_terms, definition, verification_basis, certification, threshold</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若相關名詞已有法定／國際標準且報告清楚引用，可不扣分。</w:t>
      </w:r>
    </w:p>
    <w:p>
      <w:pPr>
        <w:spacing w:after="20" w:line="276" w:lineRule="auto"/>
      </w:pPr>
      <w:r>
        <w:rPr>
          <w:b/>
        </w:rPr>
        <w:t>跨年度比較原則：</w:t>
      </w:r>
    </w:p>
    <w:p>
      <w:pPr>
        <w:spacing w:after="120" w:line="276" w:lineRule="auto"/>
      </w:pPr>
      <w:r>
        <w:rPr>
          <w:b w:val="0"/>
        </w:rPr>
        <w:t>檢查公司是否跨年改變『綠色產品』定義以維持成長。</w:t>
      </w:r>
    </w:p>
    <w:p>
      <w:pPr>
        <w:pStyle w:val="Heading3"/>
      </w:pPr>
      <w:r>
        <w:t>VAG4　關鍵宣稱缺乏明確範圍、時間或對象</w:t>
      </w:r>
    </w:p>
    <w:p>
      <w:pPr>
        <w:spacing w:after="20" w:line="276" w:lineRule="auto"/>
      </w:pPr>
      <w:r>
        <w:rPr>
          <w:b/>
        </w:rPr>
        <w:t>操作型定義：</w:t>
      </w:r>
    </w:p>
    <w:p>
      <w:pPr>
        <w:spacing w:after="80" w:line="276" w:lineRule="auto"/>
      </w:pPr>
      <w:r>
        <w:rPr>
          <w:b w:val="0"/>
        </w:rPr>
        <w:t>衡量重大環境宣稱是否清楚回答 where / when / what / whom。</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主要宣稱的範圍、期間、對象清楚。</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少數細節缺漏。</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部分宣稱邊界模糊。</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多數宣稱缺乏範圍或時間。</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主要宣稱幾乎無法知道適用對象與期間。</w:t>
            </w:r>
          </w:p>
        </w:tc>
      </w:tr>
    </w:tbl>
    <w:p>
      <w:pPr>
        <w:spacing w:after="40"/>
      </w:pPr>
    </w:p>
    <w:p>
      <w:pPr>
        <w:spacing w:after="20" w:line="276" w:lineRule="auto"/>
      </w:pPr>
      <w:r>
        <w:rPr>
          <w:b/>
        </w:rPr>
        <w:t>正反例：</w:t>
      </w:r>
    </w:p>
    <w:p>
      <w:pPr>
        <w:spacing w:after="80" w:line="276" w:lineRule="auto"/>
      </w:pPr>
      <w:r>
        <w:rPr>
          <w:b w:val="0"/>
        </w:rPr>
        <w:t>反例：『2025 年台灣三座晶圓廠用水強度下降 8%。』</w:t>
        <w:br/>
        <w:t>正例：『今年公司大幅降低水資源使用』但無範圍。</w:t>
      </w:r>
    </w:p>
    <w:p>
      <w:pPr>
        <w:spacing w:after="20" w:line="276" w:lineRule="auto"/>
      </w:pPr>
      <w:r>
        <w:rPr>
          <w:b/>
        </w:rPr>
        <w:t>AI evidence fields：</w:t>
      </w:r>
    </w:p>
    <w:p>
      <w:pPr>
        <w:spacing w:after="80" w:line="276" w:lineRule="auto"/>
      </w:pPr>
      <w:r>
        <w:rPr>
          <w:b w:val="0"/>
        </w:rPr>
        <w:t>time_scope, entity_scope, facility_scope, population_scope, product_scope</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若宣稱本身為公司政策總則，非績效主張，可 NA。</w:t>
      </w:r>
    </w:p>
    <w:p>
      <w:pPr>
        <w:spacing w:after="20" w:line="276" w:lineRule="auto"/>
      </w:pPr>
      <w:r>
        <w:rPr>
          <w:b/>
        </w:rPr>
        <w:t>跨年度比較原則：</w:t>
      </w:r>
    </w:p>
    <w:p>
      <w:pPr>
        <w:spacing w:after="120" w:line="276" w:lineRule="auto"/>
      </w:pPr>
      <w:r>
        <w:rPr>
          <w:b w:val="0"/>
        </w:rPr>
        <w:t>比較相同宣稱的範圍是否逐年縮小但文字仍維持整體性。</w:t>
      </w:r>
    </w:p>
    <w:p>
      <w:pPr>
        <w:pStyle w:val="Heading2"/>
      </w:pPr>
      <w:r>
        <w:t>D7 Linguistic Impression-management Risk (LIR)</w:t>
      </w:r>
    </w:p>
    <w:p>
      <w:pPr>
        <w:spacing w:after="120" w:line="276" w:lineRule="auto"/>
      </w:pPr>
      <w:r>
        <w:rPr>
          <w:b w:val="0"/>
        </w:rPr>
        <w:t>主要文獻基礎：Lagasio (2024); Gorovaia &amp; Makrominas (2025)</w:t>
      </w:r>
    </w:p>
    <w:p>
      <w:pPr>
        <w:pStyle w:val="Heading3"/>
      </w:pPr>
      <w:r>
        <w:t>LIR1　環境敘述呈現異常高度正向語氣</w:t>
      </w:r>
    </w:p>
    <w:p>
      <w:pPr>
        <w:spacing w:after="20" w:line="276" w:lineRule="auto"/>
      </w:pPr>
      <w:r>
        <w:rPr>
          <w:b/>
        </w:rPr>
        <w:t>操作型定義：</w:t>
      </w:r>
    </w:p>
    <w:p>
      <w:pPr>
        <w:spacing w:after="80" w:line="276" w:lineRule="auto"/>
      </w:pPr>
      <w:r>
        <w:rPr>
          <w:b w:val="0"/>
        </w:rPr>
        <w:t>衡量環境章節之正向語氣是否顯著高於其可觀察績效與負面資訊所支持的程度。</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語氣與績效大致一致。</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略偏正向但有充分證據。</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正向語氣明顯高於實際績效。</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高度正向且負面績效存在。</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極度宣傳性語氣與實際證據嚴重不一致。</w:t>
            </w:r>
          </w:p>
        </w:tc>
      </w:tr>
    </w:tbl>
    <w:p>
      <w:pPr>
        <w:spacing w:after="40"/>
      </w:pPr>
    </w:p>
    <w:p>
      <w:pPr>
        <w:spacing w:after="20" w:line="276" w:lineRule="auto"/>
      </w:pPr>
      <w:r>
        <w:rPr>
          <w:b/>
        </w:rPr>
        <w:t>正反例：</w:t>
      </w:r>
    </w:p>
    <w:p>
      <w:pPr>
        <w:spacing w:after="80" w:line="276" w:lineRule="auto"/>
      </w:pPr>
      <w:r>
        <w:rPr>
          <w:b w:val="0"/>
        </w:rPr>
        <w:t>反例：正向敘述與持續改善 KPI 一致，並揭露惡化項目。</w:t>
        <w:br/>
        <w:t>正例：排放上升卻大量使用『卓越、領先、顯著成功』。</w:t>
      </w:r>
    </w:p>
    <w:p>
      <w:pPr>
        <w:spacing w:after="20" w:line="276" w:lineRule="auto"/>
      </w:pPr>
      <w:r>
        <w:rPr>
          <w:b/>
        </w:rPr>
        <w:t>AI evidence fields：</w:t>
      </w:r>
    </w:p>
    <w:p>
      <w:pPr>
        <w:spacing w:after="80" w:line="276" w:lineRule="auto"/>
      </w:pPr>
      <w:r>
        <w:rPr>
          <w:b w:val="0"/>
        </w:rPr>
        <w:t>sentiment_score, promotional_terms, performance_direction, negative_kpis, tone_performance_gap</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沒有可比較績效資料時，不應單靠 tone 評分，原則上 NA。</w:t>
      </w:r>
    </w:p>
    <w:p>
      <w:pPr>
        <w:spacing w:after="20" w:line="276" w:lineRule="auto"/>
      </w:pPr>
      <w:r>
        <w:rPr>
          <w:b/>
        </w:rPr>
        <w:t>跨年度比較原則：</w:t>
      </w:r>
    </w:p>
    <w:p>
      <w:pPr>
        <w:spacing w:after="120" w:line="276" w:lineRule="auto"/>
      </w:pPr>
      <w:r>
        <w:rPr>
          <w:b w:val="0"/>
        </w:rPr>
        <w:t>比較 tone 與績效方向跨年是否分離。</w:t>
      </w:r>
    </w:p>
    <w:p>
      <w:pPr>
        <w:pStyle w:val="Heading3"/>
      </w:pPr>
      <w:r>
        <w:t>LIR2　負面議題附近出現較高語言複雜度或模糊化</w:t>
      </w:r>
    </w:p>
    <w:p>
      <w:pPr>
        <w:spacing w:after="20" w:line="276" w:lineRule="auto"/>
      </w:pPr>
      <w:r>
        <w:rPr>
          <w:b/>
        </w:rPr>
        <w:t>操作型定義：</w:t>
      </w:r>
    </w:p>
    <w:p>
      <w:pPr>
        <w:spacing w:after="80" w:line="276" w:lineRule="auto"/>
      </w:pPr>
      <w:r>
        <w:rPr>
          <w:b w:val="0"/>
        </w:rPr>
        <w:t>衡量當公司說明環境惡化、事故、裁罰或未達標時，是否使用異常複雜、間接、被動或技術性敘述弱化責任。</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負面資訊直接清楚。</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少量技術性語言但仍易理解。</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部分負面段落明顯複雜。</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多數負面資訊以高度間接方式表達。</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負面事件幾乎被術語、被動語態或長句掩蓋。</w:t>
            </w:r>
          </w:p>
        </w:tc>
      </w:tr>
    </w:tbl>
    <w:p>
      <w:pPr>
        <w:spacing w:after="40"/>
      </w:pPr>
    </w:p>
    <w:p>
      <w:pPr>
        <w:spacing w:after="20" w:line="276" w:lineRule="auto"/>
      </w:pPr>
      <w:r>
        <w:rPr>
          <w:b/>
        </w:rPr>
        <w:t>正反例：</w:t>
      </w:r>
    </w:p>
    <w:p>
      <w:pPr>
        <w:spacing w:after="80" w:line="276" w:lineRule="auto"/>
      </w:pPr>
      <w:r>
        <w:rPr>
          <w:b w:val="0"/>
        </w:rPr>
        <w:t>反例：『本年度因 X 事故遭裁罰 Y 元，原因為 Z，已完成改善。』</w:t>
        <w:br/>
        <w:t>正例：以數段複雜法規文字描述，卻不直接說明遭裁罰。</w:t>
      </w:r>
    </w:p>
    <w:p>
      <w:pPr>
        <w:spacing w:after="20" w:line="276" w:lineRule="auto"/>
      </w:pPr>
      <w:r>
        <w:rPr>
          <w:b/>
        </w:rPr>
        <w:t>AI evidence fields：</w:t>
      </w:r>
    </w:p>
    <w:p>
      <w:pPr>
        <w:spacing w:after="80" w:line="276" w:lineRule="auto"/>
      </w:pPr>
      <w:r>
        <w:rPr>
          <w:b w:val="0"/>
        </w:rPr>
        <w:t>negative_event, sentence_length, passive_voice, technical_density, directness, plain_language_summary</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若無負面事件或未達標事項，NA。</w:t>
      </w:r>
    </w:p>
    <w:p>
      <w:pPr>
        <w:spacing w:after="20" w:line="276" w:lineRule="auto"/>
      </w:pPr>
      <w:r>
        <w:rPr>
          <w:b/>
        </w:rPr>
        <w:t>跨年度比較原則：</w:t>
      </w:r>
    </w:p>
    <w:p>
      <w:pPr>
        <w:spacing w:after="120" w:line="276" w:lineRule="auto"/>
      </w:pPr>
      <w:r>
        <w:rPr>
          <w:b w:val="0"/>
        </w:rPr>
        <w:t>比較同類負面事件跨年的文字複雜度與直接性。</w:t>
      </w:r>
    </w:p>
    <w:p>
      <w:pPr>
        <w:pStyle w:val="Heading3"/>
      </w:pPr>
      <w:r>
        <w:t>LIR3　大量 boilerplate 或重複性永續語言</w:t>
      </w:r>
    </w:p>
    <w:p>
      <w:pPr>
        <w:spacing w:after="20" w:line="276" w:lineRule="auto"/>
      </w:pPr>
      <w:r>
        <w:rPr>
          <w:b/>
        </w:rPr>
        <w:t>操作型定義：</w:t>
      </w:r>
    </w:p>
    <w:p>
      <w:pPr>
        <w:spacing w:after="80" w:line="276" w:lineRule="auto"/>
      </w:pPr>
      <w:r>
        <w:rPr>
          <w:b w:val="0"/>
        </w:rPr>
        <w:t>衡量本年度環境敘述是否大量沿用前期模板化文字，卻缺乏新增績效與具體更新。</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每年內容有實質更新。</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少量模板文字。</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重複內容明顯但仍有重要更新。</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大部分文字與前期高度相似。</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主要環境篇章幾乎複製前期，缺乏新資訊。</w:t>
            </w:r>
          </w:p>
        </w:tc>
      </w:tr>
    </w:tbl>
    <w:p>
      <w:pPr>
        <w:spacing w:after="40"/>
      </w:pPr>
    </w:p>
    <w:p>
      <w:pPr>
        <w:spacing w:after="20" w:line="276" w:lineRule="auto"/>
      </w:pPr>
      <w:r>
        <w:rPr>
          <w:b/>
        </w:rPr>
        <w:t>正反例：</w:t>
      </w:r>
    </w:p>
    <w:p>
      <w:pPr>
        <w:spacing w:after="80" w:line="276" w:lineRule="auto"/>
      </w:pPr>
      <w:r>
        <w:rPr>
          <w:b w:val="0"/>
        </w:rPr>
        <w:t>反例：保留政策背景，但 KPI、專案與進度均更新。</w:t>
        <w:br/>
        <w:t>正例：連續三年同一段『致力於永續、積極減碳』幾乎逐字相同。</w:t>
      </w:r>
    </w:p>
    <w:p>
      <w:pPr>
        <w:spacing w:after="20" w:line="276" w:lineRule="auto"/>
      </w:pPr>
      <w:r>
        <w:rPr>
          <w:b/>
        </w:rPr>
        <w:t>AI evidence fields：</w:t>
      </w:r>
    </w:p>
    <w:p>
      <w:pPr>
        <w:spacing w:after="80" w:line="276" w:lineRule="auto"/>
      </w:pPr>
      <w:r>
        <w:rPr>
          <w:b w:val="0"/>
        </w:rPr>
        <w:t>text_similarity_prior_year, repeated_paragraphs, new_information_ratio, updated_kpis</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沒有前期報告可比較時 NA。</w:t>
      </w:r>
    </w:p>
    <w:p>
      <w:pPr>
        <w:spacing w:after="20" w:line="276" w:lineRule="auto"/>
      </w:pPr>
      <w:r>
        <w:rPr>
          <w:b/>
        </w:rPr>
        <w:t>跨年度比較原則：</w:t>
      </w:r>
    </w:p>
    <w:p>
      <w:pPr>
        <w:spacing w:after="120" w:line="276" w:lineRule="auto"/>
      </w:pPr>
      <w:r>
        <w:rPr>
          <w:b w:val="0"/>
        </w:rPr>
        <w:t>建議至少比較前一年度；若有資料可計算 2–3 年文字相似度趨勢。</w:t>
      </w:r>
    </w:p>
    <w:p>
      <w:pPr>
        <w:pStyle w:val="Heading3"/>
      </w:pPr>
      <w:r>
        <w:t>LIR4　大量正面環境內容可能造成 attention deflection</w:t>
      </w:r>
    </w:p>
    <w:p>
      <w:pPr>
        <w:spacing w:after="20" w:line="276" w:lineRule="auto"/>
      </w:pPr>
      <w:r>
        <w:rPr>
          <w:b/>
        </w:rPr>
        <w:t>操作型定義：</w:t>
      </w:r>
    </w:p>
    <w:p>
      <w:pPr>
        <w:spacing w:after="80" w:line="276" w:lineRule="auto"/>
      </w:pPr>
      <w:r>
        <w:rPr>
          <w:b w:val="0"/>
        </w:rPr>
        <w:t>衡量公司是否在存在重大負面環境事件或績效惡化時，大量增加其他正面環境敘事，轉移讀者注意。</w:t>
      </w:r>
    </w:p>
    <w:p>
      <w:pPr>
        <w:spacing w:after="20" w:line="276" w:lineRule="auto"/>
      </w:pPr>
      <w:r>
        <w:rPr>
          <w:b/>
        </w:rPr>
        <w:t>0–4 分判定規則：</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分數</w:t>
            </w:r>
          </w:p>
        </w:tc>
        <w:tc>
          <w:tcPr>
            <w:tcW w:type="dxa" w:w="4986"/>
            <w:vAlign w:val="top"/>
            <w:shd w:fill="D9EAF7"/>
          </w:tcPr>
          <w:p>
            <w:pPr>
              <w:spacing w:after="0" w:line="240" w:lineRule="auto"/>
            </w:pPr>
            <w:r/>
            <w:r>
              <w:rPr>
                <w:rFonts w:ascii="Arial" w:hAnsi="Arial"/>
                <w:b/>
                <w:sz w:val="16"/>
              </w:rPr>
              <w:t>判定規則</w:t>
            </w:r>
          </w:p>
        </w:tc>
      </w:tr>
      <w:tr>
        <w:tc>
          <w:tcPr>
            <w:tcW w:type="dxa" w:w="4986"/>
            <w:vAlign w:val="top"/>
          </w:tcPr>
          <w:p>
            <w:pPr>
              <w:spacing w:after="0" w:line="240" w:lineRule="auto"/>
            </w:pPr>
            <w:r/>
            <w:r>
              <w:rPr>
                <w:rFonts w:ascii="Arial" w:hAnsi="Arial"/>
                <w:b w:val="0"/>
                <w:sz w:val="16"/>
              </w:rPr>
              <w:t>0</w:t>
            </w:r>
          </w:p>
        </w:tc>
        <w:tc>
          <w:tcPr>
            <w:tcW w:type="dxa" w:w="4986"/>
            <w:vAlign w:val="top"/>
          </w:tcPr>
          <w:p>
            <w:pPr>
              <w:spacing w:after="0" w:line="240" w:lineRule="auto"/>
            </w:pPr>
            <w:r/>
            <w:r>
              <w:rPr>
                <w:rFonts w:ascii="Arial" w:hAnsi="Arial"/>
                <w:b w:val="0"/>
                <w:sz w:val="16"/>
              </w:rPr>
              <w:t>負面事件被直接且充分說明。</w:t>
            </w:r>
          </w:p>
        </w:tc>
      </w:tr>
      <w:tr>
        <w:tc>
          <w:tcPr>
            <w:tcW w:type="dxa" w:w="4986"/>
            <w:vAlign w:val="top"/>
          </w:tcPr>
          <w:p>
            <w:pPr>
              <w:spacing w:after="0" w:line="240" w:lineRule="auto"/>
            </w:pPr>
            <w:r/>
            <w:r>
              <w:rPr>
                <w:rFonts w:ascii="Arial" w:hAnsi="Arial"/>
                <w:b w:val="0"/>
                <w:sz w:val="16"/>
              </w:rPr>
              <w:t>1</w:t>
            </w:r>
          </w:p>
        </w:tc>
        <w:tc>
          <w:tcPr>
            <w:tcW w:type="dxa" w:w="4986"/>
            <w:vAlign w:val="top"/>
          </w:tcPr>
          <w:p>
            <w:pPr>
              <w:spacing w:after="0" w:line="240" w:lineRule="auto"/>
            </w:pPr>
            <w:r/>
            <w:r>
              <w:rPr>
                <w:rFonts w:ascii="Arial" w:hAnsi="Arial"/>
                <w:b w:val="0"/>
                <w:sz w:val="16"/>
              </w:rPr>
              <w:t>正面內容稍多但不影響負面資訊可見度。</w:t>
            </w:r>
          </w:p>
        </w:tc>
      </w:tr>
      <w:tr>
        <w:tc>
          <w:tcPr>
            <w:tcW w:type="dxa" w:w="4986"/>
            <w:vAlign w:val="top"/>
          </w:tcPr>
          <w:p>
            <w:pPr>
              <w:spacing w:after="0" w:line="240" w:lineRule="auto"/>
            </w:pPr>
            <w:r/>
            <w:r>
              <w:rPr>
                <w:rFonts w:ascii="Arial" w:hAnsi="Arial"/>
                <w:b w:val="0"/>
                <w:sz w:val="16"/>
              </w:rPr>
              <w:t>2</w:t>
            </w:r>
          </w:p>
        </w:tc>
        <w:tc>
          <w:tcPr>
            <w:tcW w:type="dxa" w:w="4986"/>
            <w:vAlign w:val="top"/>
          </w:tcPr>
          <w:p>
            <w:pPr>
              <w:spacing w:after="0" w:line="240" w:lineRule="auto"/>
            </w:pPr>
            <w:r/>
            <w:r>
              <w:rPr>
                <w:rFonts w:ascii="Arial" w:hAnsi="Arial"/>
                <w:b w:val="0"/>
                <w:sz w:val="16"/>
              </w:rPr>
              <w:t>存在一定程度注意力轉移。</w:t>
            </w:r>
          </w:p>
        </w:tc>
      </w:tr>
      <w:tr>
        <w:tc>
          <w:tcPr>
            <w:tcW w:type="dxa" w:w="4986"/>
            <w:vAlign w:val="top"/>
          </w:tcPr>
          <w:p>
            <w:pPr>
              <w:spacing w:after="0" w:line="240" w:lineRule="auto"/>
            </w:pPr>
            <w:r/>
            <w:r>
              <w:rPr>
                <w:rFonts w:ascii="Arial" w:hAnsi="Arial"/>
                <w:b w:val="0"/>
                <w:sz w:val="16"/>
              </w:rPr>
              <w:t>3</w:t>
            </w:r>
          </w:p>
        </w:tc>
        <w:tc>
          <w:tcPr>
            <w:tcW w:type="dxa" w:w="4986"/>
            <w:vAlign w:val="top"/>
          </w:tcPr>
          <w:p>
            <w:pPr>
              <w:spacing w:after="0" w:line="240" w:lineRule="auto"/>
            </w:pPr>
            <w:r/>
            <w:r>
              <w:rPr>
                <w:rFonts w:ascii="Arial" w:hAnsi="Arial"/>
                <w:b w:val="0"/>
                <w:sz w:val="16"/>
              </w:rPr>
              <w:t>負面事件附近大量插入無關正面案例。</w:t>
            </w:r>
          </w:p>
        </w:tc>
      </w:tr>
      <w:tr>
        <w:tc>
          <w:tcPr>
            <w:tcW w:type="dxa" w:w="4986"/>
            <w:vAlign w:val="top"/>
          </w:tcPr>
          <w:p>
            <w:pPr>
              <w:spacing w:after="0" w:line="240" w:lineRule="auto"/>
            </w:pPr>
            <w:r/>
            <w:r>
              <w:rPr>
                <w:rFonts w:ascii="Arial" w:hAnsi="Arial"/>
                <w:b w:val="0"/>
                <w:sz w:val="16"/>
              </w:rPr>
              <w:t>4</w:t>
            </w:r>
          </w:p>
        </w:tc>
        <w:tc>
          <w:tcPr>
            <w:tcW w:type="dxa" w:w="4986"/>
            <w:vAlign w:val="top"/>
          </w:tcPr>
          <w:p>
            <w:pPr>
              <w:spacing w:after="0" w:line="240" w:lineRule="auto"/>
            </w:pPr>
            <w:r/>
            <w:r>
              <w:rPr>
                <w:rFonts w:ascii="Arial" w:hAnsi="Arial"/>
                <w:b w:val="0"/>
                <w:sz w:val="16"/>
              </w:rPr>
              <w:t>重大負面議題被大量正面敘事淹沒。</w:t>
            </w:r>
          </w:p>
        </w:tc>
      </w:tr>
    </w:tbl>
    <w:p>
      <w:pPr>
        <w:spacing w:after="40"/>
      </w:pPr>
    </w:p>
    <w:p>
      <w:pPr>
        <w:spacing w:after="20" w:line="276" w:lineRule="auto"/>
      </w:pPr>
      <w:r>
        <w:rPr>
          <w:b/>
        </w:rPr>
        <w:t>正反例：</w:t>
      </w:r>
    </w:p>
    <w:p>
      <w:pPr>
        <w:spacing w:after="80" w:line="276" w:lineRule="auto"/>
      </w:pPr>
      <w:r>
        <w:rPr>
          <w:b w:val="0"/>
        </w:rPr>
        <w:t>反例：先完整揭露事故，再另章節呈現其他成果。</w:t>
        <w:br/>
        <w:t>正例：裁罰事件僅一句，周圍數頁都是植樹、志工、綠色活動。</w:t>
      </w:r>
    </w:p>
    <w:p>
      <w:pPr>
        <w:spacing w:after="20" w:line="276" w:lineRule="auto"/>
      </w:pPr>
      <w:r>
        <w:rPr>
          <w:b/>
        </w:rPr>
        <w:t>AI evidence fields：</w:t>
      </w:r>
    </w:p>
    <w:p>
      <w:pPr>
        <w:spacing w:after="80" w:line="276" w:lineRule="auto"/>
      </w:pPr>
      <w:r>
        <w:rPr>
          <w:b w:val="0"/>
        </w:rPr>
        <w:t>negative_event_prominence, positive_content_volume, proximity_to_negative_event, topic_relevance, deflection_flag</w:t>
      </w:r>
    </w:p>
    <w:p>
      <w:pPr>
        <w:spacing w:after="20" w:line="276" w:lineRule="auto"/>
      </w:pPr>
      <w:r>
        <w:rPr>
          <w:b/>
        </w:rPr>
        <w:t>頁碼與原文證據要求：</w:t>
      </w:r>
    </w:p>
    <w:p>
      <w:pPr>
        <w:spacing w:after="80" w:line="276" w:lineRule="auto"/>
      </w:pPr>
      <w:r>
        <w:rPr>
          <w:b w:val="0"/>
        </w:rPr>
        <w:t>至少回傳 1 個支持目前分數的頁碼與原文摘錄；若存在相反證據，另回傳 counter_evidence_page 與 counter_evidence_quote。原文應保留足夠上下文，使人工 coder 可在 PDF 中重新定位並驗證判斷。</w:t>
      </w:r>
    </w:p>
    <w:p>
      <w:pPr>
        <w:spacing w:after="20" w:line="276" w:lineRule="auto"/>
      </w:pPr>
      <w:r>
        <w:rPr>
          <w:b/>
        </w:rPr>
        <w:t>NA 規則：</w:t>
      </w:r>
    </w:p>
    <w:p>
      <w:pPr>
        <w:spacing w:after="80" w:line="276" w:lineRule="auto"/>
      </w:pPr>
      <w:r>
        <w:rPr>
          <w:b w:val="0"/>
        </w:rPr>
        <w:t>若無重大負面事件／惡化績效，NA。</w:t>
      </w:r>
    </w:p>
    <w:p>
      <w:pPr>
        <w:spacing w:after="20" w:line="276" w:lineRule="auto"/>
      </w:pPr>
      <w:r>
        <w:rPr>
          <w:b/>
        </w:rPr>
        <w:t>跨年度比較原則：</w:t>
      </w:r>
    </w:p>
    <w:p>
      <w:pPr>
        <w:spacing w:after="120" w:line="276" w:lineRule="auto"/>
      </w:pPr>
      <w:r>
        <w:rPr>
          <w:b w:val="0"/>
        </w:rPr>
        <w:t>比較事件發生年度與前後年度正面內容量是否異常跳升。</w:t>
      </w:r>
    </w:p>
    <w:p>
      <w:pPr>
        <w:pStyle w:val="Heading1"/>
      </w:pPr>
      <w:r>
        <w:t>五、LLM 自動評分標準流程</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vAlign w:val="top"/>
            <w:shd w:fill="D9EAF7"/>
          </w:tcPr>
          <w:p>
            <w:pPr>
              <w:spacing w:after="0" w:line="240" w:lineRule="auto"/>
            </w:pPr>
            <w:r/>
            <w:r>
              <w:rPr>
                <w:rFonts w:ascii="Arial" w:hAnsi="Arial"/>
                <w:b/>
                <w:sz w:val="16"/>
              </w:rPr>
              <w:t>步驟</w:t>
            </w:r>
          </w:p>
        </w:tc>
        <w:tc>
          <w:tcPr>
            <w:tcW w:type="dxa" w:w="3324"/>
            <w:vAlign w:val="top"/>
            <w:shd w:fill="D9EAF7"/>
          </w:tcPr>
          <w:p>
            <w:pPr>
              <w:spacing w:after="0" w:line="240" w:lineRule="auto"/>
            </w:pPr>
            <w:r/>
            <w:r>
              <w:rPr>
                <w:rFonts w:ascii="Arial" w:hAnsi="Arial"/>
                <w:b/>
                <w:sz w:val="16"/>
              </w:rPr>
              <w:t>LLM 任務</w:t>
            </w:r>
          </w:p>
        </w:tc>
        <w:tc>
          <w:tcPr>
            <w:tcW w:type="dxa" w:w="3324"/>
            <w:vAlign w:val="top"/>
            <w:shd w:fill="D9EAF7"/>
          </w:tcPr>
          <w:p>
            <w:pPr>
              <w:spacing w:after="0" w:line="240" w:lineRule="auto"/>
            </w:pPr>
            <w:r/>
            <w:r>
              <w:rPr>
                <w:rFonts w:ascii="Arial" w:hAnsi="Arial"/>
                <w:b/>
                <w:sz w:val="16"/>
              </w:rPr>
              <w:t>輸出</w:t>
            </w:r>
          </w:p>
        </w:tc>
      </w:tr>
      <w:tr>
        <w:tc>
          <w:tcPr>
            <w:tcW w:type="dxa" w:w="3324"/>
            <w:vAlign w:val="top"/>
          </w:tcPr>
          <w:p>
            <w:pPr>
              <w:spacing w:after="0" w:line="240" w:lineRule="auto"/>
            </w:pPr>
            <w:r/>
            <w:r>
              <w:rPr>
                <w:rFonts w:ascii="Arial" w:hAnsi="Arial"/>
                <w:b w:val="0"/>
                <w:sz w:val="16"/>
              </w:rPr>
              <w:t>1. Materiality screening</w:t>
            </w:r>
          </w:p>
        </w:tc>
        <w:tc>
          <w:tcPr>
            <w:tcW w:type="dxa" w:w="3324"/>
            <w:vAlign w:val="top"/>
          </w:tcPr>
          <w:p>
            <w:pPr>
              <w:spacing w:after="0" w:line="240" w:lineRule="auto"/>
            </w:pPr>
            <w:r/>
            <w:r>
              <w:rPr>
                <w:rFonts w:ascii="Arial" w:hAnsi="Arial"/>
                <w:b w:val="0"/>
                <w:sz w:val="16"/>
              </w:rPr>
              <w:t>辨識該公司之重大環境議題；避免對非重大議題機械扣分。</w:t>
            </w:r>
          </w:p>
        </w:tc>
        <w:tc>
          <w:tcPr>
            <w:tcW w:type="dxa" w:w="3324"/>
            <w:vAlign w:val="top"/>
          </w:tcPr>
          <w:p>
            <w:pPr>
              <w:spacing w:after="0" w:line="240" w:lineRule="auto"/>
            </w:pPr>
            <w:r/>
            <w:r>
              <w:rPr>
                <w:rFonts w:ascii="Arial" w:hAnsi="Arial"/>
                <w:b w:val="0"/>
                <w:sz w:val="16"/>
              </w:rPr>
              <w:t>material_topics</w:t>
            </w:r>
          </w:p>
        </w:tc>
      </w:tr>
      <w:tr>
        <w:tc>
          <w:tcPr>
            <w:tcW w:type="dxa" w:w="3324"/>
            <w:vAlign w:val="top"/>
          </w:tcPr>
          <w:p>
            <w:pPr>
              <w:spacing w:after="0" w:line="240" w:lineRule="auto"/>
            </w:pPr>
            <w:r/>
            <w:r>
              <w:rPr>
                <w:rFonts w:ascii="Arial" w:hAnsi="Arial"/>
                <w:b w:val="0"/>
                <w:sz w:val="16"/>
              </w:rPr>
              <w:t>2. Claim extraction</w:t>
            </w:r>
          </w:p>
        </w:tc>
        <w:tc>
          <w:tcPr>
            <w:tcW w:type="dxa" w:w="3324"/>
            <w:vAlign w:val="top"/>
          </w:tcPr>
          <w:p>
            <w:pPr>
              <w:spacing w:after="0" w:line="240" w:lineRule="auto"/>
            </w:pPr>
            <w:r/>
            <w:r>
              <w:rPr>
                <w:rFonts w:ascii="Arial" w:hAnsi="Arial"/>
                <w:b w:val="0"/>
                <w:sz w:val="16"/>
              </w:rPr>
              <w:t>抽取主要環境宣稱、目標、改善敘述與績效主張。</w:t>
            </w:r>
          </w:p>
        </w:tc>
        <w:tc>
          <w:tcPr>
            <w:tcW w:type="dxa" w:w="3324"/>
            <w:vAlign w:val="top"/>
          </w:tcPr>
          <w:p>
            <w:pPr>
              <w:spacing w:after="0" w:line="240" w:lineRule="auto"/>
            </w:pPr>
            <w:r/>
            <w:r>
              <w:rPr>
                <w:rFonts w:ascii="Arial" w:hAnsi="Arial"/>
                <w:b w:val="0"/>
                <w:sz w:val="16"/>
              </w:rPr>
              <w:t>claim_text / topic / scope</w:t>
            </w:r>
          </w:p>
        </w:tc>
      </w:tr>
      <w:tr>
        <w:tc>
          <w:tcPr>
            <w:tcW w:type="dxa" w:w="3324"/>
            <w:vAlign w:val="top"/>
          </w:tcPr>
          <w:p>
            <w:pPr>
              <w:spacing w:after="0" w:line="240" w:lineRule="auto"/>
            </w:pPr>
            <w:r/>
            <w:r>
              <w:rPr>
                <w:rFonts w:ascii="Arial" w:hAnsi="Arial"/>
                <w:b w:val="0"/>
                <w:sz w:val="16"/>
              </w:rPr>
              <w:t>3. Evidence matching</w:t>
            </w:r>
          </w:p>
        </w:tc>
        <w:tc>
          <w:tcPr>
            <w:tcW w:type="dxa" w:w="3324"/>
            <w:vAlign w:val="top"/>
          </w:tcPr>
          <w:p>
            <w:pPr>
              <w:spacing w:after="0" w:line="240" w:lineRule="auto"/>
            </w:pPr>
            <w:r/>
            <w:r>
              <w:rPr>
                <w:rFonts w:ascii="Arial" w:hAnsi="Arial"/>
                <w:b w:val="0"/>
                <w:sz w:val="16"/>
              </w:rPr>
              <w:t>搜尋與每個 claim 對應的行動、KPI、數據、結果、驗證。</w:t>
            </w:r>
          </w:p>
        </w:tc>
        <w:tc>
          <w:tcPr>
            <w:tcW w:type="dxa" w:w="3324"/>
            <w:vAlign w:val="top"/>
          </w:tcPr>
          <w:p>
            <w:pPr>
              <w:spacing w:after="0" w:line="240" w:lineRule="auto"/>
            </w:pPr>
            <w:r/>
            <w:r>
              <w:rPr>
                <w:rFonts w:ascii="Arial" w:hAnsi="Arial"/>
                <w:b w:val="0"/>
                <w:sz w:val="16"/>
              </w:rPr>
              <w:t>evidence fields</w:t>
            </w:r>
          </w:p>
        </w:tc>
      </w:tr>
      <w:tr>
        <w:tc>
          <w:tcPr>
            <w:tcW w:type="dxa" w:w="3324"/>
            <w:vAlign w:val="top"/>
          </w:tcPr>
          <w:p>
            <w:pPr>
              <w:spacing w:after="0" w:line="240" w:lineRule="auto"/>
            </w:pPr>
            <w:r/>
            <w:r>
              <w:rPr>
                <w:rFonts w:ascii="Arial" w:hAnsi="Arial"/>
                <w:b w:val="0"/>
                <w:sz w:val="16"/>
              </w:rPr>
              <w:t>4. Negative evidence search</w:t>
            </w:r>
          </w:p>
        </w:tc>
        <w:tc>
          <w:tcPr>
            <w:tcW w:type="dxa" w:w="3324"/>
            <w:vAlign w:val="top"/>
          </w:tcPr>
          <w:p>
            <w:pPr>
              <w:spacing w:after="0" w:line="240" w:lineRule="auto"/>
            </w:pPr>
            <w:r/>
            <w:r>
              <w:rPr>
                <w:rFonts w:ascii="Arial" w:hAnsi="Arial"/>
                <w:b w:val="0"/>
                <w:sz w:val="16"/>
              </w:rPr>
              <w:t>主動搜尋排放增加、目標未達、事故、裁罰、惡化 KPI。</w:t>
            </w:r>
          </w:p>
        </w:tc>
        <w:tc>
          <w:tcPr>
            <w:tcW w:type="dxa" w:w="3324"/>
            <w:vAlign w:val="top"/>
          </w:tcPr>
          <w:p>
            <w:pPr>
              <w:spacing w:after="0" w:line="240" w:lineRule="auto"/>
            </w:pPr>
            <w:r/>
            <w:r>
              <w:rPr>
                <w:rFonts w:ascii="Arial" w:hAnsi="Arial"/>
                <w:b w:val="0"/>
                <w:sz w:val="16"/>
              </w:rPr>
              <w:t>negative evidence</w:t>
            </w:r>
          </w:p>
        </w:tc>
      </w:tr>
      <w:tr>
        <w:tc>
          <w:tcPr>
            <w:tcW w:type="dxa" w:w="3324"/>
            <w:vAlign w:val="top"/>
          </w:tcPr>
          <w:p>
            <w:pPr>
              <w:spacing w:after="0" w:line="240" w:lineRule="auto"/>
            </w:pPr>
            <w:r/>
            <w:r>
              <w:rPr>
                <w:rFonts w:ascii="Arial" w:hAnsi="Arial"/>
                <w:b w:val="0"/>
                <w:sz w:val="16"/>
              </w:rPr>
              <w:t>5. Cross-year comparison</w:t>
            </w:r>
          </w:p>
        </w:tc>
        <w:tc>
          <w:tcPr>
            <w:tcW w:type="dxa" w:w="3324"/>
            <w:vAlign w:val="top"/>
          </w:tcPr>
          <w:p>
            <w:pPr>
              <w:spacing w:after="0" w:line="240" w:lineRule="auto"/>
            </w:pPr>
            <w:r/>
            <w:r>
              <w:rPr>
                <w:rFonts w:ascii="Arial" w:hAnsi="Arial"/>
                <w:b w:val="0"/>
                <w:sz w:val="16"/>
              </w:rPr>
              <w:t>對照前 1–3 年相同 KPI、目標與敘述。</w:t>
            </w:r>
          </w:p>
        </w:tc>
        <w:tc>
          <w:tcPr>
            <w:tcW w:type="dxa" w:w="3324"/>
            <w:vAlign w:val="top"/>
          </w:tcPr>
          <w:p>
            <w:pPr>
              <w:spacing w:after="0" w:line="240" w:lineRule="auto"/>
            </w:pPr>
            <w:r/>
            <w:r>
              <w:rPr>
                <w:rFonts w:ascii="Arial" w:hAnsi="Arial"/>
                <w:b w:val="0"/>
                <w:sz w:val="16"/>
              </w:rPr>
              <w:t>year_compare</w:t>
            </w:r>
          </w:p>
        </w:tc>
      </w:tr>
      <w:tr>
        <w:tc>
          <w:tcPr>
            <w:tcW w:type="dxa" w:w="3324"/>
            <w:vAlign w:val="top"/>
          </w:tcPr>
          <w:p>
            <w:pPr>
              <w:spacing w:after="0" w:line="240" w:lineRule="auto"/>
            </w:pPr>
            <w:r/>
            <w:r>
              <w:rPr>
                <w:rFonts w:ascii="Arial" w:hAnsi="Arial"/>
                <w:b w:val="0"/>
                <w:sz w:val="16"/>
              </w:rPr>
              <w:t>6. Item scoring</w:t>
            </w:r>
          </w:p>
        </w:tc>
        <w:tc>
          <w:tcPr>
            <w:tcW w:type="dxa" w:w="3324"/>
            <w:vAlign w:val="top"/>
          </w:tcPr>
          <w:p>
            <w:pPr>
              <w:spacing w:after="0" w:line="240" w:lineRule="auto"/>
            </w:pPr>
            <w:r/>
            <w:r>
              <w:rPr>
                <w:rFonts w:ascii="Arial" w:hAnsi="Arial"/>
                <w:b w:val="0"/>
                <w:sz w:val="16"/>
              </w:rPr>
              <w:t>依 28 題 rubric 分別評 0–4 或 NA。</w:t>
            </w:r>
          </w:p>
        </w:tc>
        <w:tc>
          <w:tcPr>
            <w:tcW w:type="dxa" w:w="3324"/>
            <w:vAlign w:val="top"/>
          </w:tcPr>
          <w:p>
            <w:pPr>
              <w:spacing w:after="0" w:line="240" w:lineRule="auto"/>
            </w:pPr>
            <w:r/>
            <w:r>
              <w:rPr>
                <w:rFonts w:ascii="Arial" w:hAnsi="Arial"/>
                <w:b w:val="0"/>
                <w:sz w:val="16"/>
              </w:rPr>
              <w:t>item scores</w:t>
            </w:r>
          </w:p>
        </w:tc>
      </w:tr>
      <w:tr>
        <w:tc>
          <w:tcPr>
            <w:tcW w:type="dxa" w:w="3324"/>
            <w:vAlign w:val="top"/>
          </w:tcPr>
          <w:p>
            <w:pPr>
              <w:spacing w:after="0" w:line="240" w:lineRule="auto"/>
            </w:pPr>
            <w:r/>
            <w:r>
              <w:rPr>
                <w:rFonts w:ascii="Arial" w:hAnsi="Arial"/>
                <w:b w:val="0"/>
                <w:sz w:val="16"/>
              </w:rPr>
              <w:t>7. Evidence audit</w:t>
            </w:r>
          </w:p>
        </w:tc>
        <w:tc>
          <w:tcPr>
            <w:tcW w:type="dxa" w:w="3324"/>
            <w:vAlign w:val="top"/>
          </w:tcPr>
          <w:p>
            <w:pPr>
              <w:spacing w:after="0" w:line="240" w:lineRule="auto"/>
            </w:pPr>
            <w:r/>
            <w:r>
              <w:rPr>
                <w:rFonts w:ascii="Arial" w:hAnsi="Arial"/>
                <w:b w:val="0"/>
                <w:sz w:val="16"/>
              </w:rPr>
              <w:t>每題附頁碼、原文、反證與 confidence。</w:t>
            </w:r>
          </w:p>
        </w:tc>
        <w:tc>
          <w:tcPr>
            <w:tcW w:type="dxa" w:w="3324"/>
            <w:vAlign w:val="top"/>
          </w:tcPr>
          <w:p>
            <w:pPr>
              <w:spacing w:after="0" w:line="240" w:lineRule="auto"/>
            </w:pPr>
            <w:r/>
            <w:r>
              <w:rPr>
                <w:rFonts w:ascii="Arial" w:hAnsi="Arial"/>
                <w:b w:val="0"/>
                <w:sz w:val="16"/>
              </w:rPr>
              <w:t>auditable output</w:t>
            </w:r>
          </w:p>
        </w:tc>
      </w:tr>
      <w:tr>
        <w:tc>
          <w:tcPr>
            <w:tcW w:type="dxa" w:w="3324"/>
            <w:vAlign w:val="top"/>
          </w:tcPr>
          <w:p>
            <w:pPr>
              <w:spacing w:after="0" w:line="240" w:lineRule="auto"/>
            </w:pPr>
            <w:r/>
            <w:r>
              <w:rPr>
                <w:rFonts w:ascii="Arial" w:hAnsi="Arial"/>
                <w:b w:val="0"/>
                <w:sz w:val="16"/>
              </w:rPr>
              <w:t>8. Dimension aggregation</w:t>
            </w:r>
          </w:p>
        </w:tc>
        <w:tc>
          <w:tcPr>
            <w:tcW w:type="dxa" w:w="3324"/>
            <w:vAlign w:val="top"/>
          </w:tcPr>
          <w:p>
            <w:pPr>
              <w:spacing w:after="0" w:line="240" w:lineRule="auto"/>
            </w:pPr>
            <w:r/>
            <w:r>
              <w:rPr>
                <w:rFonts w:ascii="Arial" w:hAnsi="Arial"/>
                <w:b w:val="0"/>
                <w:sz w:val="16"/>
              </w:rPr>
              <w:t>計算 7 構面平均分數。</w:t>
            </w:r>
          </w:p>
        </w:tc>
        <w:tc>
          <w:tcPr>
            <w:tcW w:type="dxa" w:w="3324"/>
            <w:vAlign w:val="top"/>
          </w:tcPr>
          <w:p>
            <w:pPr>
              <w:spacing w:after="0" w:line="240" w:lineRule="auto"/>
            </w:pPr>
            <w:r/>
            <w:r>
              <w:rPr>
                <w:rFonts w:ascii="Arial" w:hAnsi="Arial"/>
                <w:b w:val="0"/>
                <w:sz w:val="16"/>
              </w:rPr>
              <w:t>dimension scores</w:t>
            </w:r>
          </w:p>
        </w:tc>
      </w:tr>
      <w:tr>
        <w:tc>
          <w:tcPr>
            <w:tcW w:type="dxa" w:w="3324"/>
            <w:vAlign w:val="top"/>
          </w:tcPr>
          <w:p>
            <w:pPr>
              <w:spacing w:after="0" w:line="240" w:lineRule="auto"/>
            </w:pPr>
            <w:r/>
            <w:r>
              <w:rPr>
                <w:rFonts w:ascii="Arial" w:hAnsi="Arial"/>
                <w:b w:val="0"/>
                <w:sz w:val="16"/>
              </w:rPr>
              <w:t>9. Weighted AI-GWRI</w:t>
            </w:r>
          </w:p>
        </w:tc>
        <w:tc>
          <w:tcPr>
            <w:tcW w:type="dxa" w:w="3324"/>
            <w:vAlign w:val="top"/>
          </w:tcPr>
          <w:p>
            <w:pPr>
              <w:spacing w:after="0" w:line="240" w:lineRule="auto"/>
            </w:pPr>
            <w:r/>
            <w:r>
              <w:rPr>
                <w:rFonts w:ascii="Arial" w:hAnsi="Arial"/>
                <w:b w:val="0"/>
                <w:sz w:val="16"/>
              </w:rPr>
              <w:t>依權重轉為 0–100。</w:t>
            </w:r>
          </w:p>
        </w:tc>
        <w:tc>
          <w:tcPr>
            <w:tcW w:type="dxa" w:w="3324"/>
            <w:vAlign w:val="top"/>
          </w:tcPr>
          <w:p>
            <w:pPr>
              <w:spacing w:after="0" w:line="240" w:lineRule="auto"/>
            </w:pPr>
            <w:r/>
            <w:r>
              <w:rPr>
                <w:rFonts w:ascii="Arial" w:hAnsi="Arial"/>
                <w:b w:val="0"/>
                <w:sz w:val="16"/>
              </w:rPr>
              <w:t>AI-GWRI</w:t>
            </w:r>
          </w:p>
        </w:tc>
      </w:tr>
    </w:tbl>
    <w:p>
      <w:pPr>
        <w:spacing w:after="40"/>
      </w:pPr>
    </w:p>
    <w:p>
      <w:pPr>
        <w:pStyle w:val="Heading1"/>
      </w:pPr>
      <w:r>
        <w:t>六、建議的結構化輸出格式</w:t>
      </w:r>
    </w:p>
    <w:p>
      <w:pPr>
        <w:spacing w:after="80" w:line="276" w:lineRule="auto"/>
      </w:pPr>
      <w:r>
        <w:rPr>
          <w:b w:val="0"/>
        </w:rPr>
        <w:t>每一題建議輸出下列結構；正式實作時可轉為 JSON、CSV 或資料庫欄位：</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vAlign w:val="top"/>
            <w:shd w:fill="D9EAF7"/>
          </w:tcPr>
          <w:p>
            <w:pPr>
              <w:spacing w:after="0" w:line="240" w:lineRule="auto"/>
            </w:pPr>
            <w:r/>
            <w:r>
              <w:rPr>
                <w:rFonts w:ascii="Arial" w:hAnsi="Arial"/>
                <w:b/>
                <w:sz w:val="16"/>
              </w:rPr>
              <w:t>欄位</w:t>
            </w:r>
          </w:p>
        </w:tc>
        <w:tc>
          <w:tcPr>
            <w:tcW w:type="dxa" w:w="4986"/>
            <w:vAlign w:val="top"/>
            <w:shd w:fill="D9EAF7"/>
          </w:tcPr>
          <w:p>
            <w:pPr>
              <w:spacing w:after="0" w:line="240" w:lineRule="auto"/>
            </w:pPr>
            <w:r/>
            <w:r>
              <w:rPr>
                <w:rFonts w:ascii="Arial" w:hAnsi="Arial"/>
                <w:b/>
                <w:sz w:val="16"/>
              </w:rPr>
              <w:t>範例</w:t>
            </w:r>
          </w:p>
        </w:tc>
      </w:tr>
      <w:tr>
        <w:tc>
          <w:tcPr>
            <w:tcW w:type="dxa" w:w="4986"/>
            <w:vAlign w:val="top"/>
          </w:tcPr>
          <w:p>
            <w:pPr>
              <w:spacing w:after="0" w:line="240" w:lineRule="auto"/>
            </w:pPr>
            <w:r/>
            <w:r>
              <w:rPr>
                <w:rFonts w:ascii="Arial" w:hAnsi="Arial"/>
                <w:b w:val="0"/>
                <w:sz w:val="16"/>
              </w:rPr>
              <w:t>item_code</w:t>
            </w:r>
          </w:p>
        </w:tc>
        <w:tc>
          <w:tcPr>
            <w:tcW w:type="dxa" w:w="4986"/>
            <w:vAlign w:val="top"/>
          </w:tcPr>
          <w:p>
            <w:pPr>
              <w:spacing w:after="0" w:line="240" w:lineRule="auto"/>
            </w:pPr>
            <w:r/>
            <w:r>
              <w:rPr>
                <w:rFonts w:ascii="Arial" w:hAnsi="Arial"/>
                <w:b w:val="0"/>
                <w:sz w:val="16"/>
              </w:rPr>
              <w:t>CEG1</w:t>
            </w:r>
          </w:p>
        </w:tc>
      </w:tr>
      <w:tr>
        <w:tc>
          <w:tcPr>
            <w:tcW w:type="dxa" w:w="4986"/>
            <w:vAlign w:val="top"/>
          </w:tcPr>
          <w:p>
            <w:pPr>
              <w:spacing w:after="0" w:line="240" w:lineRule="auto"/>
            </w:pPr>
            <w:r/>
            <w:r>
              <w:rPr>
                <w:rFonts w:ascii="Arial" w:hAnsi="Arial"/>
                <w:b w:val="0"/>
                <w:sz w:val="16"/>
              </w:rPr>
              <w:t>score</w:t>
            </w:r>
          </w:p>
        </w:tc>
        <w:tc>
          <w:tcPr>
            <w:tcW w:type="dxa" w:w="4986"/>
            <w:vAlign w:val="top"/>
          </w:tcPr>
          <w:p>
            <w:pPr>
              <w:spacing w:after="0" w:line="240" w:lineRule="auto"/>
            </w:pPr>
            <w:r/>
            <w:r>
              <w:rPr>
                <w:rFonts w:ascii="Arial" w:hAnsi="Arial"/>
                <w:b w:val="0"/>
                <w:sz w:val="16"/>
              </w:rPr>
              <w:t>3</w:t>
            </w:r>
          </w:p>
        </w:tc>
      </w:tr>
      <w:tr>
        <w:tc>
          <w:tcPr>
            <w:tcW w:type="dxa" w:w="4986"/>
            <w:vAlign w:val="top"/>
          </w:tcPr>
          <w:p>
            <w:pPr>
              <w:spacing w:after="0" w:line="240" w:lineRule="auto"/>
            </w:pPr>
            <w:r/>
            <w:r>
              <w:rPr>
                <w:rFonts w:ascii="Arial" w:hAnsi="Arial"/>
                <w:b w:val="0"/>
                <w:sz w:val="16"/>
              </w:rPr>
              <w:t>confidence</w:t>
            </w:r>
          </w:p>
        </w:tc>
        <w:tc>
          <w:tcPr>
            <w:tcW w:type="dxa" w:w="4986"/>
            <w:vAlign w:val="top"/>
          </w:tcPr>
          <w:p>
            <w:pPr>
              <w:spacing w:after="0" w:line="240" w:lineRule="auto"/>
            </w:pPr>
            <w:r/>
            <w:r>
              <w:rPr>
                <w:rFonts w:ascii="Arial" w:hAnsi="Arial"/>
                <w:b w:val="0"/>
                <w:sz w:val="16"/>
              </w:rPr>
              <w:t>High</w:t>
            </w:r>
          </w:p>
        </w:tc>
      </w:tr>
      <w:tr>
        <w:tc>
          <w:tcPr>
            <w:tcW w:type="dxa" w:w="4986"/>
            <w:vAlign w:val="top"/>
          </w:tcPr>
          <w:p>
            <w:pPr>
              <w:spacing w:after="0" w:line="240" w:lineRule="auto"/>
            </w:pPr>
            <w:r/>
            <w:r>
              <w:rPr>
                <w:rFonts w:ascii="Arial" w:hAnsi="Arial"/>
                <w:b w:val="0"/>
                <w:sz w:val="16"/>
              </w:rPr>
              <w:t>materiality_status</w:t>
            </w:r>
          </w:p>
        </w:tc>
        <w:tc>
          <w:tcPr>
            <w:tcW w:type="dxa" w:w="4986"/>
            <w:vAlign w:val="top"/>
          </w:tcPr>
          <w:p>
            <w:pPr>
              <w:spacing w:after="0" w:line="240" w:lineRule="auto"/>
            </w:pPr>
            <w:r/>
            <w:r>
              <w:rPr>
                <w:rFonts w:ascii="Arial" w:hAnsi="Arial"/>
                <w:b w:val="0"/>
                <w:sz w:val="16"/>
              </w:rPr>
              <w:t>Material</w:t>
            </w:r>
          </w:p>
        </w:tc>
      </w:tr>
      <w:tr>
        <w:tc>
          <w:tcPr>
            <w:tcW w:type="dxa" w:w="4986"/>
            <w:vAlign w:val="top"/>
          </w:tcPr>
          <w:p>
            <w:pPr>
              <w:spacing w:after="0" w:line="240" w:lineRule="auto"/>
            </w:pPr>
            <w:r/>
            <w:r>
              <w:rPr>
                <w:rFonts w:ascii="Arial" w:hAnsi="Arial"/>
                <w:b w:val="0"/>
                <w:sz w:val="16"/>
              </w:rPr>
              <w:t>evidence_page</w:t>
            </w:r>
          </w:p>
        </w:tc>
        <w:tc>
          <w:tcPr>
            <w:tcW w:type="dxa" w:w="4986"/>
            <w:vAlign w:val="top"/>
          </w:tcPr>
          <w:p>
            <w:pPr>
              <w:spacing w:after="0" w:line="240" w:lineRule="auto"/>
            </w:pPr>
            <w:r/>
            <w:r>
              <w:rPr>
                <w:rFonts w:ascii="Arial" w:hAnsi="Arial"/>
                <w:b w:val="0"/>
                <w:sz w:val="16"/>
              </w:rPr>
              <w:t>p. 46, p. 51</w:t>
            </w:r>
          </w:p>
        </w:tc>
      </w:tr>
      <w:tr>
        <w:tc>
          <w:tcPr>
            <w:tcW w:type="dxa" w:w="4986"/>
            <w:vAlign w:val="top"/>
          </w:tcPr>
          <w:p>
            <w:pPr>
              <w:spacing w:after="0" w:line="240" w:lineRule="auto"/>
            </w:pPr>
            <w:r/>
            <w:r>
              <w:rPr>
                <w:rFonts w:ascii="Arial" w:hAnsi="Arial"/>
                <w:b w:val="0"/>
                <w:sz w:val="16"/>
              </w:rPr>
              <w:t>evidence_quote</w:t>
            </w:r>
          </w:p>
        </w:tc>
        <w:tc>
          <w:tcPr>
            <w:tcW w:type="dxa" w:w="4986"/>
            <w:vAlign w:val="top"/>
          </w:tcPr>
          <w:p>
            <w:pPr>
              <w:spacing w:after="0" w:line="240" w:lineRule="auto"/>
            </w:pPr>
            <w:r/>
            <w:r>
              <w:rPr>
                <w:rFonts w:ascii="Arial" w:hAnsi="Arial"/>
                <w:b w:val="0"/>
                <w:sz w:val="16"/>
              </w:rPr>
              <w:t>『本公司持續推動低碳製造……』；未見對應專案或成果。</w:t>
            </w:r>
          </w:p>
        </w:tc>
      </w:tr>
      <w:tr>
        <w:tc>
          <w:tcPr>
            <w:tcW w:type="dxa" w:w="4986"/>
            <w:vAlign w:val="top"/>
          </w:tcPr>
          <w:p>
            <w:pPr>
              <w:spacing w:after="0" w:line="240" w:lineRule="auto"/>
            </w:pPr>
            <w:r/>
            <w:r>
              <w:rPr>
                <w:rFonts w:ascii="Arial" w:hAnsi="Arial"/>
                <w:b w:val="0"/>
                <w:sz w:val="16"/>
              </w:rPr>
              <w:t>counter_evidence_page</w:t>
            </w:r>
          </w:p>
        </w:tc>
        <w:tc>
          <w:tcPr>
            <w:tcW w:type="dxa" w:w="4986"/>
            <w:vAlign w:val="top"/>
          </w:tcPr>
          <w:p>
            <w:pPr>
              <w:spacing w:after="0" w:line="240" w:lineRule="auto"/>
            </w:pPr>
            <w:r/>
            <w:r>
              <w:rPr>
                <w:rFonts w:ascii="Arial" w:hAnsi="Arial"/>
                <w:b w:val="0"/>
                <w:sz w:val="16"/>
              </w:rPr>
              <w:t>p. 63</w:t>
            </w:r>
          </w:p>
        </w:tc>
      </w:tr>
      <w:tr>
        <w:tc>
          <w:tcPr>
            <w:tcW w:type="dxa" w:w="4986"/>
            <w:vAlign w:val="top"/>
          </w:tcPr>
          <w:p>
            <w:pPr>
              <w:spacing w:after="0" w:line="240" w:lineRule="auto"/>
            </w:pPr>
            <w:r/>
            <w:r>
              <w:rPr>
                <w:rFonts w:ascii="Arial" w:hAnsi="Arial"/>
                <w:b w:val="0"/>
                <w:sz w:val="16"/>
              </w:rPr>
              <w:t>counter_evidence_quote</w:t>
            </w:r>
          </w:p>
        </w:tc>
        <w:tc>
          <w:tcPr>
            <w:tcW w:type="dxa" w:w="4986"/>
            <w:vAlign w:val="top"/>
          </w:tcPr>
          <w:p>
            <w:pPr>
              <w:spacing w:after="0" w:line="240" w:lineRule="auto"/>
            </w:pPr>
            <w:r/>
            <w:r>
              <w:rPr>
                <w:rFonts w:ascii="Arial" w:hAnsi="Arial"/>
                <w:b w:val="0"/>
                <w:sz w:val="16"/>
              </w:rPr>
              <w:t>『完成 A 廠空壓系統汰換……』</w:t>
            </w:r>
          </w:p>
        </w:tc>
      </w:tr>
      <w:tr>
        <w:tc>
          <w:tcPr>
            <w:tcW w:type="dxa" w:w="4986"/>
            <w:vAlign w:val="top"/>
          </w:tcPr>
          <w:p>
            <w:pPr>
              <w:spacing w:after="0" w:line="240" w:lineRule="auto"/>
            </w:pPr>
            <w:r/>
            <w:r>
              <w:rPr>
                <w:rFonts w:ascii="Arial" w:hAnsi="Arial"/>
                <w:b w:val="0"/>
                <w:sz w:val="16"/>
              </w:rPr>
              <w:t>reasoning_summary</w:t>
            </w:r>
          </w:p>
        </w:tc>
        <w:tc>
          <w:tcPr>
            <w:tcW w:type="dxa" w:w="4986"/>
            <w:vAlign w:val="top"/>
          </w:tcPr>
          <w:p>
            <w:pPr>
              <w:spacing w:after="0" w:line="240" w:lineRule="auto"/>
            </w:pPr>
            <w:r/>
            <w:r>
              <w:rPr>
                <w:rFonts w:ascii="Arial" w:hAnsi="Arial"/>
                <w:b w:val="0"/>
                <w:sz w:val="16"/>
              </w:rPr>
              <w:t>主要低碳宣稱多為原則性表述，僅少數單廠專案可直接支持，故評為 3。</w:t>
            </w:r>
          </w:p>
        </w:tc>
      </w:tr>
      <w:tr>
        <w:tc>
          <w:tcPr>
            <w:tcW w:type="dxa" w:w="4986"/>
            <w:vAlign w:val="top"/>
          </w:tcPr>
          <w:p>
            <w:pPr>
              <w:spacing w:after="0" w:line="240" w:lineRule="auto"/>
            </w:pPr>
            <w:r/>
            <w:r>
              <w:rPr>
                <w:rFonts w:ascii="Arial" w:hAnsi="Arial"/>
                <w:b w:val="0"/>
                <w:sz w:val="16"/>
              </w:rPr>
              <w:t>year_compare</w:t>
            </w:r>
          </w:p>
        </w:tc>
        <w:tc>
          <w:tcPr>
            <w:tcW w:type="dxa" w:w="4986"/>
            <w:vAlign w:val="top"/>
          </w:tcPr>
          <w:p>
            <w:pPr>
              <w:spacing w:after="0" w:line="240" w:lineRule="auto"/>
            </w:pPr>
            <w:r/>
            <w:r>
              <w:rPr>
                <w:rFonts w:ascii="Arial" w:hAnsi="Arial"/>
                <w:b w:val="0"/>
                <w:sz w:val="16"/>
              </w:rPr>
              <w:t>Stable</w:t>
            </w:r>
          </w:p>
        </w:tc>
      </w:tr>
      <w:tr>
        <w:tc>
          <w:tcPr>
            <w:tcW w:type="dxa" w:w="4986"/>
            <w:vAlign w:val="top"/>
          </w:tcPr>
          <w:p>
            <w:pPr>
              <w:spacing w:after="0" w:line="240" w:lineRule="auto"/>
            </w:pPr>
            <w:r/>
            <w:r>
              <w:rPr>
                <w:rFonts w:ascii="Arial" w:hAnsi="Arial"/>
                <w:b w:val="0"/>
                <w:sz w:val="16"/>
              </w:rPr>
              <w:t>missing_information</w:t>
            </w:r>
          </w:p>
        </w:tc>
        <w:tc>
          <w:tcPr>
            <w:tcW w:type="dxa" w:w="4986"/>
            <w:vAlign w:val="top"/>
          </w:tcPr>
          <w:p>
            <w:pPr>
              <w:spacing w:after="0" w:line="240" w:lineRule="auto"/>
            </w:pPr>
            <w:r/>
            <w:r>
              <w:rPr>
                <w:rFonts w:ascii="Arial" w:hAnsi="Arial"/>
                <w:b w:val="0"/>
                <w:sz w:val="16"/>
              </w:rPr>
              <w:t>缺少公司整體低碳製造專案清單與結果。</w:t>
            </w:r>
          </w:p>
        </w:tc>
      </w:tr>
    </w:tbl>
    <w:p>
      <w:pPr>
        <w:spacing w:after="40"/>
      </w:pPr>
    </w:p>
    <w:p>
      <w:pPr>
        <w:pStyle w:val="Heading1"/>
      </w:pPr>
      <w:r>
        <w:t>七、構面與總指標計算</w:t>
      </w:r>
    </w:p>
    <w:p>
      <w:pPr>
        <w:spacing w:after="80" w:line="276" w:lineRule="auto"/>
      </w:pPr>
      <w:r>
        <w:rPr>
          <w:b w:val="0"/>
        </w:rPr>
        <w:t>每一構面先計算有效題項平均；NA 題不納入分母，但需另行計算 NA ratio。若某構面有效題少於 2 題，建議該構面標示為 Low Reliability，並避免直接計入總分，或於實證研究中進行敏感度分析。</w:t>
      </w:r>
    </w:p>
    <w:p>
      <w:pPr>
        <w:spacing w:after="80" w:line="276" w:lineRule="auto"/>
        <w:jc w:val="center"/>
      </w:pPr>
      <w:r>
        <w:rPr>
          <w:b/>
          <w:sz w:val="22"/>
        </w:rPr>
        <w:t>AI-GWRI = 25(CEG/4) + 15(QEG/4) + 15(TAG/4) + 20(SDR/4) + 10(VRG/4) + 10(VAG/4) + 5(LIR/4)</w:t>
      </w:r>
    </w:p>
    <w:p>
      <w:pPr>
        <w:spacing w:after="80" w:line="276" w:lineRule="auto"/>
      </w:pPr>
      <w:r>
        <w:rPr>
          <w:b w:val="0"/>
        </w:rPr>
        <w:t>建議同時保留：AI-GWRI、七構面分數、28 題原始分數、NA ratio、evidence coverage ratio、confidence distribution。這些欄位可用於後續信效度、穩健性與模型比較。</w:t>
      </w:r>
    </w:p>
    <w:p>
      <w:pPr>
        <w:pStyle w:val="Heading1"/>
      </w:pPr>
      <w:r>
        <w:t>八、人工與 LLM 一致性檢驗建議</w:t>
      </w:r>
    </w:p>
    <w:p>
      <w:pPr>
        <w:spacing w:after="80" w:line="276" w:lineRule="auto"/>
      </w:pPr>
      <w:r>
        <w:rPr>
          <w:b w:val="0"/>
        </w:rPr>
        <w:t>為建立 measurement reliability，建議抽取 10%–20% 報告由至少兩位人工 coder 與 LLM 分別評分。題項層級可使用 weighted kappa 或 Krippendorff's alpha；構面與總分可使用 ICC。若 LLM 與人工評分差異超過 1 分，應進行 adjudication 並修訂 codebook。</w:t>
      </w:r>
    </w:p>
    <w:p>
      <w:pPr>
        <w:spacing w:after="80" w:line="276" w:lineRule="auto"/>
      </w:pPr>
      <w:r>
        <w:rPr>
          <w:b w:val="0"/>
        </w:rPr>
        <w:t>另外建議執行：不同 LLM、不同 temperature、不同 prompt、同一模型重複評分、不同報告年度的 robustness tests。若某題在多模型間一致性長期偏低，應考慮刪題、合併或改寫判準。</w:t>
      </w:r>
    </w:p>
    <w:p>
      <w:pPr>
        <w:pStyle w:val="Heading1"/>
      </w:pPr>
      <w:r>
        <w:t>九、核心參考文獻</w:t>
      </w:r>
    </w:p>
    <w:p>
      <w:pPr>
        <w:spacing w:after="100"/>
        <w:ind w:left="454" w:hanging="454"/>
      </w:pPr>
      <w:r>
        <w:t>Delmas, M. A., &amp; Burbano, V. C. (2011). The drivers of greenwashing. California Management Review, 54(1), 64–87. https://doi.org/10.1525/cmr.2011.54.1.64</w:t>
      </w:r>
    </w:p>
    <w:p>
      <w:pPr>
        <w:spacing w:after="100"/>
        <w:ind w:left="454" w:hanging="454"/>
      </w:pPr>
      <w:r>
        <w:t>de Freitas Netto, S. V., Sobral, M. F. F., Ribeiro, A. R. B., &amp; Soares, G. R. L. (2020). Concepts and forms of greenwashing: A systematic review. Environmental Sciences Europe, 32, 19.</w:t>
      </w:r>
    </w:p>
    <w:p>
      <w:pPr>
        <w:spacing w:after="100"/>
        <w:ind w:left="454" w:hanging="454"/>
      </w:pPr>
      <w:r>
        <w:t>Walker, K., &amp; Wan, F. (2012). The harm of symbolic actions and green-washing: Corporate actions and communications on environmental performance and their financial implications. Journal of Business Ethics, 109(2), 227–242. https://doi.org/10.1007/s10551-011-1122-4</w:t>
      </w:r>
    </w:p>
    <w:p>
      <w:pPr>
        <w:spacing w:after="100"/>
        <w:ind w:left="454" w:hanging="454"/>
      </w:pPr>
      <w:r>
        <w:t>Marquis, C., Toffel, M. W., &amp; Zhou, Y. (2016). Scrutiny, norms, and selective disclosure: A global study of greenwashing. Organization Science, 27(2), 483–504. https://doi.org/10.1287/orsc.2015.1039</w:t>
      </w:r>
    </w:p>
    <w:p>
      <w:pPr>
        <w:spacing w:after="100"/>
        <w:ind w:left="454" w:hanging="454"/>
      </w:pPr>
      <w:r>
        <w:t>Michelon, G., Pilonato, S., &amp; Ricceri, F. (2015). CSR reporting practices and the quality of disclosure: An empirical analysis. Critical Perspectives on Accounting, 33, 59–78.</w:t>
      </w:r>
    </w:p>
    <w:p>
      <w:pPr>
        <w:spacing w:after="100"/>
        <w:ind w:left="454" w:hanging="454"/>
      </w:pPr>
      <w:r>
        <w:t>Lagasio, V. (2024). ESG-washing detection in corporate sustainability reports. International Review of Financial Analysis, 96, 103742.</w:t>
      </w:r>
    </w:p>
    <w:p>
      <w:pPr>
        <w:spacing w:after="100"/>
        <w:ind w:left="454" w:hanging="454"/>
      </w:pPr>
      <w:r>
        <w:t>Gorovaia, N., &amp; Makrominas, M. (2025). Identifying greenwashing in corporate-social responsibility reports using natural-language processing. European Financial Management, 31, 427–462. https://doi.org/10.1111/eufm.12509</w:t>
      </w:r>
    </w:p>
    <w:p>
      <w:pPr>
        <w:spacing w:after="100"/>
        <w:ind w:left="454" w:hanging="454"/>
      </w:pPr>
      <w:r>
        <w:t>Lublóy, Á., Keresztúri, J. L., &amp; Berlinger, E. (2025). Quantifying firm-level greenwashing: A systematic literature review. Journal of Environmental Management, 373, 123399.</w:t>
      </w:r>
    </w:p>
    <w:p>
      <w:r>
        <w:br w:type="page"/>
      </w:r>
    </w:p>
    <w:p>
      <w:pPr>
        <w:pStyle w:val="Heading1"/>
      </w:pPr>
      <w:r>
        <w:t>十、AI-GWRI 公司年度總評分表</w:t>
      </w:r>
    </w:p>
    <w:p>
      <w:pPr>
        <w:spacing w:after="120"/>
      </w:pPr>
      <w:r>
        <w:t>本表用於彙整單一公司—年度之 28 題評分結果。每題填入 0–4 或 NA；各構面以有效題項平均計算，再依權重轉換為加權分數。建議同時保留 NA 數量與 evidence coverage，以避免總分掩蓋資料不足問題。</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Pr>
          <w:p>
            <w:pPr>
              <w:spacing w:after="0"/>
            </w:pPr>
            <w:r/>
            <w:r>
              <w:rPr>
                <w:rFonts w:ascii="Arial" w:hAnsi="Arial"/>
                <w:b/>
                <w:sz w:val="17"/>
              </w:rPr>
              <w:t>公司名稱</w:t>
            </w:r>
          </w:p>
        </w:tc>
        <w:tc>
          <w:tcPr>
            <w:tcW w:type="dxa" w:w="2493"/>
            <w:vAlign w:val="center"/>
          </w:tcPr>
          <w:p>
            <w:pPr>
              <w:spacing w:after="0"/>
            </w:pPr>
            <w:r/>
            <w:r>
              <w:rPr>
                <w:rFonts w:ascii="Arial" w:hAnsi="Arial"/>
                <w:b w:val="0"/>
                <w:sz w:val="17"/>
              </w:rPr>
              <w:t>＿＿＿＿＿＿＿＿</w:t>
            </w:r>
          </w:p>
        </w:tc>
        <w:tc>
          <w:tcPr>
            <w:tcW w:type="dxa" w:w="2493"/>
            <w:vAlign w:val="center"/>
          </w:tcPr>
          <w:p>
            <w:pPr>
              <w:spacing w:after="0"/>
            </w:pPr>
            <w:r/>
            <w:r>
              <w:rPr>
                <w:rFonts w:ascii="Arial" w:hAnsi="Arial"/>
                <w:b/>
                <w:sz w:val="17"/>
              </w:rPr>
              <w:t>報告年度</w:t>
            </w:r>
          </w:p>
        </w:tc>
        <w:tc>
          <w:tcPr>
            <w:tcW w:type="dxa" w:w="2493"/>
            <w:vAlign w:val="center"/>
          </w:tcPr>
          <w:p>
            <w:pPr>
              <w:spacing w:after="0"/>
            </w:pPr>
            <w:r/>
            <w:r>
              <w:rPr>
                <w:rFonts w:ascii="Arial" w:hAnsi="Arial"/>
                <w:b w:val="0"/>
                <w:sz w:val="17"/>
              </w:rPr>
              <w:t>＿＿＿＿年</w:t>
            </w:r>
          </w:p>
        </w:tc>
      </w:tr>
      <w:tr>
        <w:tc>
          <w:tcPr>
            <w:tcW w:type="dxa" w:w="2493"/>
            <w:vAlign w:val="center"/>
          </w:tcPr>
          <w:p>
            <w:pPr>
              <w:spacing w:after="0"/>
            </w:pPr>
            <w:r/>
            <w:r>
              <w:rPr>
                <w:rFonts w:ascii="Arial" w:hAnsi="Arial"/>
                <w:b/>
                <w:sz w:val="17"/>
              </w:rPr>
              <w:t>評分模型／版本</w:t>
            </w:r>
          </w:p>
        </w:tc>
        <w:tc>
          <w:tcPr>
            <w:tcW w:type="dxa" w:w="2493"/>
            <w:vAlign w:val="center"/>
          </w:tcPr>
          <w:p>
            <w:pPr>
              <w:spacing w:after="0"/>
            </w:pPr>
            <w:r/>
            <w:r>
              <w:rPr>
                <w:rFonts w:ascii="Arial" w:hAnsi="Arial"/>
                <w:b w:val="0"/>
                <w:sz w:val="17"/>
              </w:rPr>
              <w:t>＿＿＿＿＿＿＿＿</w:t>
            </w:r>
          </w:p>
        </w:tc>
        <w:tc>
          <w:tcPr>
            <w:tcW w:type="dxa" w:w="2493"/>
            <w:vAlign w:val="center"/>
          </w:tcPr>
          <w:p>
            <w:pPr>
              <w:spacing w:after="0"/>
            </w:pPr>
            <w:r/>
            <w:r>
              <w:rPr>
                <w:rFonts w:ascii="Arial" w:hAnsi="Arial"/>
                <w:b/>
                <w:sz w:val="17"/>
              </w:rPr>
              <w:t>評分日期</w:t>
            </w:r>
          </w:p>
        </w:tc>
        <w:tc>
          <w:tcPr>
            <w:tcW w:type="dxa" w:w="2493"/>
            <w:vAlign w:val="center"/>
          </w:tcPr>
          <w:p>
            <w:pPr>
              <w:spacing w:after="0"/>
            </w:pPr>
            <w:r/>
            <w:r>
              <w:rPr>
                <w:rFonts w:ascii="Arial" w:hAnsi="Arial"/>
                <w:b w:val="0"/>
                <w:sz w:val="17"/>
              </w:rPr>
              <w:t>＿＿＿＿＿＿＿＿</w:t>
            </w:r>
          </w:p>
        </w:tc>
      </w:tr>
    </w:tbl>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vAlign w:val="center"/>
            <w:shd w:fill="D9EAF7"/>
          </w:tcPr>
          <w:p>
            <w:pPr>
              <w:spacing w:after="0"/>
            </w:pPr>
            <w:r/>
            <w:r>
              <w:rPr>
                <w:rFonts w:ascii="Arial" w:hAnsi="Arial"/>
                <w:b/>
                <w:sz w:val="15"/>
              </w:rPr>
              <w:t>構面</w:t>
            </w:r>
          </w:p>
        </w:tc>
        <w:tc>
          <w:tcPr>
            <w:tcW w:type="dxa" w:w="1108"/>
            <w:vAlign w:val="center"/>
            <w:shd w:fill="D9EAF7"/>
          </w:tcPr>
          <w:p>
            <w:pPr>
              <w:spacing w:after="0"/>
            </w:pPr>
            <w:r/>
            <w:r>
              <w:rPr>
                <w:rFonts w:ascii="Arial" w:hAnsi="Arial"/>
                <w:b/>
                <w:sz w:val="15"/>
              </w:rPr>
              <w:t>題項1</w:t>
            </w:r>
          </w:p>
        </w:tc>
        <w:tc>
          <w:tcPr>
            <w:tcW w:type="dxa" w:w="1108"/>
            <w:vAlign w:val="center"/>
            <w:shd w:fill="D9EAF7"/>
          </w:tcPr>
          <w:p>
            <w:pPr>
              <w:spacing w:after="0"/>
            </w:pPr>
            <w:r/>
            <w:r>
              <w:rPr>
                <w:rFonts w:ascii="Arial" w:hAnsi="Arial"/>
                <w:b/>
                <w:sz w:val="15"/>
              </w:rPr>
              <w:t>題項2</w:t>
            </w:r>
          </w:p>
        </w:tc>
        <w:tc>
          <w:tcPr>
            <w:tcW w:type="dxa" w:w="1108"/>
            <w:vAlign w:val="center"/>
            <w:shd w:fill="D9EAF7"/>
          </w:tcPr>
          <w:p>
            <w:pPr>
              <w:spacing w:after="0"/>
            </w:pPr>
            <w:r/>
            <w:r>
              <w:rPr>
                <w:rFonts w:ascii="Arial" w:hAnsi="Arial"/>
                <w:b/>
                <w:sz w:val="15"/>
              </w:rPr>
              <w:t>題項3</w:t>
            </w:r>
          </w:p>
        </w:tc>
        <w:tc>
          <w:tcPr>
            <w:tcW w:type="dxa" w:w="1108"/>
            <w:vAlign w:val="center"/>
            <w:shd w:fill="D9EAF7"/>
          </w:tcPr>
          <w:p>
            <w:pPr>
              <w:spacing w:after="0"/>
            </w:pPr>
            <w:r/>
            <w:r>
              <w:rPr>
                <w:rFonts w:ascii="Arial" w:hAnsi="Arial"/>
                <w:b/>
                <w:sz w:val="15"/>
              </w:rPr>
              <w:t>題項4</w:t>
            </w:r>
          </w:p>
        </w:tc>
        <w:tc>
          <w:tcPr>
            <w:tcW w:type="dxa" w:w="1108"/>
            <w:vAlign w:val="center"/>
            <w:shd w:fill="D9EAF7"/>
          </w:tcPr>
          <w:p>
            <w:pPr>
              <w:spacing w:after="0"/>
            </w:pPr>
            <w:r/>
            <w:r>
              <w:rPr>
                <w:rFonts w:ascii="Arial" w:hAnsi="Arial"/>
                <w:b/>
                <w:sz w:val="15"/>
              </w:rPr>
              <w:t>構面平均</w:t>
              <w:br/>
              <w:t>0–4</w:t>
            </w:r>
          </w:p>
        </w:tc>
        <w:tc>
          <w:tcPr>
            <w:tcW w:type="dxa" w:w="1108"/>
            <w:vAlign w:val="center"/>
            <w:shd w:fill="D9EAF7"/>
          </w:tcPr>
          <w:p>
            <w:pPr>
              <w:spacing w:after="0"/>
            </w:pPr>
            <w:r/>
            <w:r>
              <w:rPr>
                <w:rFonts w:ascii="Arial" w:hAnsi="Arial"/>
                <w:b/>
                <w:sz w:val="15"/>
              </w:rPr>
              <w:t>權重</w:t>
            </w:r>
          </w:p>
        </w:tc>
        <w:tc>
          <w:tcPr>
            <w:tcW w:type="dxa" w:w="1108"/>
            <w:vAlign w:val="center"/>
            <w:shd w:fill="D9EAF7"/>
          </w:tcPr>
          <w:p>
            <w:pPr>
              <w:spacing w:after="0"/>
            </w:pPr>
            <w:r/>
            <w:r>
              <w:rPr>
                <w:rFonts w:ascii="Arial" w:hAnsi="Arial"/>
                <w:b/>
                <w:sz w:val="15"/>
              </w:rPr>
              <w:t>加權分數</w:t>
              <w:br/>
              <w:t>0–權重</w:t>
            </w:r>
          </w:p>
        </w:tc>
        <w:tc>
          <w:tcPr>
            <w:tcW w:type="dxa" w:w="1108"/>
            <w:vAlign w:val="center"/>
            <w:shd w:fill="D9EAF7"/>
          </w:tcPr>
          <w:p>
            <w:pPr>
              <w:spacing w:after="0"/>
            </w:pPr>
            <w:r/>
            <w:r>
              <w:rPr>
                <w:rFonts w:ascii="Arial" w:hAnsi="Arial"/>
                <w:b/>
                <w:sz w:val="15"/>
              </w:rPr>
              <w:t>NA數</w:t>
            </w:r>
          </w:p>
        </w:tc>
      </w:tr>
      <w:tr>
        <w:tc>
          <w:tcPr>
            <w:tcW w:type="dxa" w:w="1108"/>
            <w:vAlign w:val="center"/>
          </w:tcPr>
          <w:p>
            <w:pPr>
              <w:spacing w:after="0"/>
            </w:pPr>
            <w:r/>
            <w:r>
              <w:rPr>
                <w:rFonts w:ascii="Arial" w:hAnsi="Arial"/>
                <w:b/>
                <w:sz w:val="15"/>
              </w:rPr>
              <w:t>CEG</w:t>
            </w:r>
          </w:p>
        </w:tc>
        <w:tc>
          <w:tcPr>
            <w:tcW w:type="dxa" w:w="1108"/>
            <w:vAlign w:val="center"/>
          </w:tcPr>
          <w:p>
            <w:pPr>
              <w:spacing w:after="0"/>
            </w:pPr>
            <w:r/>
            <w:r>
              <w:rPr>
                <w:rFonts w:ascii="Arial" w:hAnsi="Arial"/>
                <w:b w:val="0"/>
                <w:sz w:val="15"/>
              </w:rPr>
              <w:t>CEG1</w:t>
            </w:r>
          </w:p>
        </w:tc>
        <w:tc>
          <w:tcPr>
            <w:tcW w:type="dxa" w:w="1108"/>
            <w:vAlign w:val="center"/>
          </w:tcPr>
          <w:p>
            <w:pPr>
              <w:spacing w:after="0"/>
            </w:pPr>
            <w:r/>
            <w:r>
              <w:rPr>
                <w:rFonts w:ascii="Arial" w:hAnsi="Arial"/>
                <w:b w:val="0"/>
                <w:sz w:val="15"/>
              </w:rPr>
              <w:t>CEG2</w:t>
            </w:r>
          </w:p>
        </w:tc>
        <w:tc>
          <w:tcPr>
            <w:tcW w:type="dxa" w:w="1108"/>
            <w:vAlign w:val="center"/>
          </w:tcPr>
          <w:p>
            <w:pPr>
              <w:spacing w:after="0"/>
            </w:pPr>
            <w:r/>
            <w:r>
              <w:rPr>
                <w:rFonts w:ascii="Arial" w:hAnsi="Arial"/>
                <w:b w:val="0"/>
                <w:sz w:val="15"/>
              </w:rPr>
              <w:t>CEG3</w:t>
            </w:r>
          </w:p>
        </w:tc>
        <w:tc>
          <w:tcPr>
            <w:tcW w:type="dxa" w:w="1108"/>
            <w:vAlign w:val="center"/>
          </w:tcPr>
          <w:p>
            <w:pPr>
              <w:spacing w:after="0"/>
            </w:pPr>
            <w:r/>
            <w:r>
              <w:rPr>
                <w:rFonts w:ascii="Arial" w:hAnsi="Arial"/>
                <w:b w:val="0"/>
                <w:sz w:val="15"/>
              </w:rPr>
              <w:t>CEG4</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t>25%</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r>
          </w:p>
        </w:tc>
      </w:tr>
      <w:tr>
        <w:tc>
          <w:tcPr>
            <w:tcW w:type="dxa" w:w="1108"/>
            <w:vAlign w:val="center"/>
          </w:tcPr>
          <w:p>
            <w:pPr>
              <w:spacing w:after="0"/>
            </w:pPr>
            <w:r/>
            <w:r>
              <w:rPr>
                <w:rFonts w:ascii="Arial" w:hAnsi="Arial"/>
                <w:b/>
                <w:sz w:val="15"/>
              </w:rPr>
              <w:t>QEG</w:t>
            </w:r>
          </w:p>
        </w:tc>
        <w:tc>
          <w:tcPr>
            <w:tcW w:type="dxa" w:w="1108"/>
            <w:vAlign w:val="center"/>
          </w:tcPr>
          <w:p>
            <w:pPr>
              <w:spacing w:after="0"/>
            </w:pPr>
            <w:r/>
            <w:r>
              <w:rPr>
                <w:rFonts w:ascii="Arial" w:hAnsi="Arial"/>
                <w:b w:val="0"/>
                <w:sz w:val="15"/>
              </w:rPr>
              <w:t>QEG1</w:t>
            </w:r>
          </w:p>
        </w:tc>
        <w:tc>
          <w:tcPr>
            <w:tcW w:type="dxa" w:w="1108"/>
            <w:vAlign w:val="center"/>
          </w:tcPr>
          <w:p>
            <w:pPr>
              <w:spacing w:after="0"/>
            </w:pPr>
            <w:r/>
            <w:r>
              <w:rPr>
                <w:rFonts w:ascii="Arial" w:hAnsi="Arial"/>
                <w:b w:val="0"/>
                <w:sz w:val="15"/>
              </w:rPr>
              <w:t>QEG2</w:t>
            </w:r>
          </w:p>
        </w:tc>
        <w:tc>
          <w:tcPr>
            <w:tcW w:type="dxa" w:w="1108"/>
            <w:vAlign w:val="center"/>
          </w:tcPr>
          <w:p>
            <w:pPr>
              <w:spacing w:after="0"/>
            </w:pPr>
            <w:r/>
            <w:r>
              <w:rPr>
                <w:rFonts w:ascii="Arial" w:hAnsi="Arial"/>
                <w:b w:val="0"/>
                <w:sz w:val="15"/>
              </w:rPr>
              <w:t>QEG3</w:t>
            </w:r>
          </w:p>
        </w:tc>
        <w:tc>
          <w:tcPr>
            <w:tcW w:type="dxa" w:w="1108"/>
            <w:vAlign w:val="center"/>
          </w:tcPr>
          <w:p>
            <w:pPr>
              <w:spacing w:after="0"/>
            </w:pPr>
            <w:r/>
            <w:r>
              <w:rPr>
                <w:rFonts w:ascii="Arial" w:hAnsi="Arial"/>
                <w:b w:val="0"/>
                <w:sz w:val="15"/>
              </w:rPr>
              <w:t>QEG4</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t>15%</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r>
          </w:p>
        </w:tc>
      </w:tr>
      <w:tr>
        <w:tc>
          <w:tcPr>
            <w:tcW w:type="dxa" w:w="1108"/>
            <w:vAlign w:val="center"/>
          </w:tcPr>
          <w:p>
            <w:pPr>
              <w:spacing w:after="0"/>
            </w:pPr>
            <w:r/>
            <w:r>
              <w:rPr>
                <w:rFonts w:ascii="Arial" w:hAnsi="Arial"/>
                <w:b/>
                <w:sz w:val="15"/>
              </w:rPr>
              <w:t>TAG</w:t>
            </w:r>
          </w:p>
        </w:tc>
        <w:tc>
          <w:tcPr>
            <w:tcW w:type="dxa" w:w="1108"/>
            <w:vAlign w:val="center"/>
          </w:tcPr>
          <w:p>
            <w:pPr>
              <w:spacing w:after="0"/>
            </w:pPr>
            <w:r/>
            <w:r>
              <w:rPr>
                <w:rFonts w:ascii="Arial" w:hAnsi="Arial"/>
                <w:b w:val="0"/>
                <w:sz w:val="15"/>
              </w:rPr>
              <w:t>TAG1</w:t>
            </w:r>
          </w:p>
        </w:tc>
        <w:tc>
          <w:tcPr>
            <w:tcW w:type="dxa" w:w="1108"/>
            <w:vAlign w:val="center"/>
          </w:tcPr>
          <w:p>
            <w:pPr>
              <w:spacing w:after="0"/>
            </w:pPr>
            <w:r/>
            <w:r>
              <w:rPr>
                <w:rFonts w:ascii="Arial" w:hAnsi="Arial"/>
                <w:b w:val="0"/>
                <w:sz w:val="15"/>
              </w:rPr>
              <w:t>TAG2</w:t>
            </w:r>
          </w:p>
        </w:tc>
        <w:tc>
          <w:tcPr>
            <w:tcW w:type="dxa" w:w="1108"/>
            <w:vAlign w:val="center"/>
          </w:tcPr>
          <w:p>
            <w:pPr>
              <w:spacing w:after="0"/>
            </w:pPr>
            <w:r/>
            <w:r>
              <w:rPr>
                <w:rFonts w:ascii="Arial" w:hAnsi="Arial"/>
                <w:b w:val="0"/>
                <w:sz w:val="15"/>
              </w:rPr>
              <w:t>TAG3</w:t>
            </w:r>
          </w:p>
        </w:tc>
        <w:tc>
          <w:tcPr>
            <w:tcW w:type="dxa" w:w="1108"/>
            <w:vAlign w:val="center"/>
          </w:tcPr>
          <w:p>
            <w:pPr>
              <w:spacing w:after="0"/>
            </w:pPr>
            <w:r/>
            <w:r>
              <w:rPr>
                <w:rFonts w:ascii="Arial" w:hAnsi="Arial"/>
                <w:b w:val="0"/>
                <w:sz w:val="15"/>
              </w:rPr>
              <w:t>TAG4</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t>15%</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r>
          </w:p>
        </w:tc>
      </w:tr>
      <w:tr>
        <w:tc>
          <w:tcPr>
            <w:tcW w:type="dxa" w:w="1108"/>
            <w:vAlign w:val="center"/>
          </w:tcPr>
          <w:p>
            <w:pPr>
              <w:spacing w:after="0"/>
            </w:pPr>
            <w:r/>
            <w:r>
              <w:rPr>
                <w:rFonts w:ascii="Arial" w:hAnsi="Arial"/>
                <w:b/>
                <w:sz w:val="15"/>
              </w:rPr>
              <w:t>SDR</w:t>
            </w:r>
          </w:p>
        </w:tc>
        <w:tc>
          <w:tcPr>
            <w:tcW w:type="dxa" w:w="1108"/>
            <w:vAlign w:val="center"/>
          </w:tcPr>
          <w:p>
            <w:pPr>
              <w:spacing w:after="0"/>
            </w:pPr>
            <w:r/>
            <w:r>
              <w:rPr>
                <w:rFonts w:ascii="Arial" w:hAnsi="Arial"/>
                <w:b w:val="0"/>
                <w:sz w:val="15"/>
              </w:rPr>
              <w:t>SDR1</w:t>
            </w:r>
          </w:p>
        </w:tc>
        <w:tc>
          <w:tcPr>
            <w:tcW w:type="dxa" w:w="1108"/>
            <w:vAlign w:val="center"/>
          </w:tcPr>
          <w:p>
            <w:pPr>
              <w:spacing w:after="0"/>
            </w:pPr>
            <w:r/>
            <w:r>
              <w:rPr>
                <w:rFonts w:ascii="Arial" w:hAnsi="Arial"/>
                <w:b w:val="0"/>
                <w:sz w:val="15"/>
              </w:rPr>
              <w:t>SDR2</w:t>
            </w:r>
          </w:p>
        </w:tc>
        <w:tc>
          <w:tcPr>
            <w:tcW w:type="dxa" w:w="1108"/>
            <w:vAlign w:val="center"/>
          </w:tcPr>
          <w:p>
            <w:pPr>
              <w:spacing w:after="0"/>
            </w:pPr>
            <w:r/>
            <w:r>
              <w:rPr>
                <w:rFonts w:ascii="Arial" w:hAnsi="Arial"/>
                <w:b w:val="0"/>
                <w:sz w:val="15"/>
              </w:rPr>
              <w:t>SDR3</w:t>
            </w:r>
          </w:p>
        </w:tc>
        <w:tc>
          <w:tcPr>
            <w:tcW w:type="dxa" w:w="1108"/>
            <w:vAlign w:val="center"/>
          </w:tcPr>
          <w:p>
            <w:pPr>
              <w:spacing w:after="0"/>
            </w:pPr>
            <w:r/>
            <w:r>
              <w:rPr>
                <w:rFonts w:ascii="Arial" w:hAnsi="Arial"/>
                <w:b w:val="0"/>
                <w:sz w:val="15"/>
              </w:rPr>
              <w:t>SDR4</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t>20%</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r>
          </w:p>
        </w:tc>
      </w:tr>
      <w:tr>
        <w:tc>
          <w:tcPr>
            <w:tcW w:type="dxa" w:w="1108"/>
            <w:vAlign w:val="center"/>
          </w:tcPr>
          <w:p>
            <w:pPr>
              <w:spacing w:after="0"/>
            </w:pPr>
            <w:r/>
            <w:r>
              <w:rPr>
                <w:rFonts w:ascii="Arial" w:hAnsi="Arial"/>
                <w:b/>
                <w:sz w:val="15"/>
              </w:rPr>
              <w:t>VRG</w:t>
            </w:r>
          </w:p>
        </w:tc>
        <w:tc>
          <w:tcPr>
            <w:tcW w:type="dxa" w:w="1108"/>
            <w:vAlign w:val="center"/>
          </w:tcPr>
          <w:p>
            <w:pPr>
              <w:spacing w:after="0"/>
            </w:pPr>
            <w:r/>
            <w:r>
              <w:rPr>
                <w:rFonts w:ascii="Arial" w:hAnsi="Arial"/>
                <w:b w:val="0"/>
                <w:sz w:val="15"/>
              </w:rPr>
              <w:t>VRG1</w:t>
            </w:r>
          </w:p>
        </w:tc>
        <w:tc>
          <w:tcPr>
            <w:tcW w:type="dxa" w:w="1108"/>
            <w:vAlign w:val="center"/>
          </w:tcPr>
          <w:p>
            <w:pPr>
              <w:spacing w:after="0"/>
            </w:pPr>
            <w:r/>
            <w:r>
              <w:rPr>
                <w:rFonts w:ascii="Arial" w:hAnsi="Arial"/>
                <w:b w:val="0"/>
                <w:sz w:val="15"/>
              </w:rPr>
              <w:t>VRG2</w:t>
            </w:r>
          </w:p>
        </w:tc>
        <w:tc>
          <w:tcPr>
            <w:tcW w:type="dxa" w:w="1108"/>
            <w:vAlign w:val="center"/>
          </w:tcPr>
          <w:p>
            <w:pPr>
              <w:spacing w:after="0"/>
            </w:pPr>
            <w:r/>
            <w:r>
              <w:rPr>
                <w:rFonts w:ascii="Arial" w:hAnsi="Arial"/>
                <w:b w:val="0"/>
                <w:sz w:val="15"/>
              </w:rPr>
              <w:t>VRG3</w:t>
            </w:r>
          </w:p>
        </w:tc>
        <w:tc>
          <w:tcPr>
            <w:tcW w:type="dxa" w:w="1108"/>
            <w:vAlign w:val="center"/>
          </w:tcPr>
          <w:p>
            <w:pPr>
              <w:spacing w:after="0"/>
            </w:pPr>
            <w:r/>
            <w:r>
              <w:rPr>
                <w:rFonts w:ascii="Arial" w:hAnsi="Arial"/>
                <w:b w:val="0"/>
                <w:sz w:val="15"/>
              </w:rPr>
              <w:t>VRG4</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t>10%</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r>
          </w:p>
        </w:tc>
      </w:tr>
      <w:tr>
        <w:tc>
          <w:tcPr>
            <w:tcW w:type="dxa" w:w="1108"/>
            <w:vAlign w:val="center"/>
          </w:tcPr>
          <w:p>
            <w:pPr>
              <w:spacing w:after="0"/>
            </w:pPr>
            <w:r/>
            <w:r>
              <w:rPr>
                <w:rFonts w:ascii="Arial" w:hAnsi="Arial"/>
                <w:b/>
                <w:sz w:val="15"/>
              </w:rPr>
              <w:t>VAG</w:t>
            </w:r>
          </w:p>
        </w:tc>
        <w:tc>
          <w:tcPr>
            <w:tcW w:type="dxa" w:w="1108"/>
            <w:vAlign w:val="center"/>
          </w:tcPr>
          <w:p>
            <w:pPr>
              <w:spacing w:after="0"/>
            </w:pPr>
            <w:r/>
            <w:r>
              <w:rPr>
                <w:rFonts w:ascii="Arial" w:hAnsi="Arial"/>
                <w:b w:val="0"/>
                <w:sz w:val="15"/>
              </w:rPr>
              <w:t>VAG1</w:t>
            </w:r>
          </w:p>
        </w:tc>
        <w:tc>
          <w:tcPr>
            <w:tcW w:type="dxa" w:w="1108"/>
            <w:vAlign w:val="center"/>
          </w:tcPr>
          <w:p>
            <w:pPr>
              <w:spacing w:after="0"/>
            </w:pPr>
            <w:r/>
            <w:r>
              <w:rPr>
                <w:rFonts w:ascii="Arial" w:hAnsi="Arial"/>
                <w:b w:val="0"/>
                <w:sz w:val="15"/>
              </w:rPr>
              <w:t>VAG2</w:t>
            </w:r>
          </w:p>
        </w:tc>
        <w:tc>
          <w:tcPr>
            <w:tcW w:type="dxa" w:w="1108"/>
            <w:vAlign w:val="center"/>
          </w:tcPr>
          <w:p>
            <w:pPr>
              <w:spacing w:after="0"/>
            </w:pPr>
            <w:r/>
            <w:r>
              <w:rPr>
                <w:rFonts w:ascii="Arial" w:hAnsi="Arial"/>
                <w:b w:val="0"/>
                <w:sz w:val="15"/>
              </w:rPr>
              <w:t>VAG3</w:t>
            </w:r>
          </w:p>
        </w:tc>
        <w:tc>
          <w:tcPr>
            <w:tcW w:type="dxa" w:w="1108"/>
            <w:vAlign w:val="center"/>
          </w:tcPr>
          <w:p>
            <w:pPr>
              <w:spacing w:after="0"/>
            </w:pPr>
            <w:r/>
            <w:r>
              <w:rPr>
                <w:rFonts w:ascii="Arial" w:hAnsi="Arial"/>
                <w:b w:val="0"/>
                <w:sz w:val="15"/>
              </w:rPr>
              <w:t>VAG4</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t>10%</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r>
          </w:p>
        </w:tc>
      </w:tr>
      <w:tr>
        <w:tc>
          <w:tcPr>
            <w:tcW w:type="dxa" w:w="1108"/>
            <w:vAlign w:val="center"/>
          </w:tcPr>
          <w:p>
            <w:pPr>
              <w:spacing w:after="0"/>
            </w:pPr>
            <w:r/>
            <w:r>
              <w:rPr>
                <w:rFonts w:ascii="Arial" w:hAnsi="Arial"/>
                <w:b/>
                <w:sz w:val="15"/>
              </w:rPr>
              <w:t>LIR</w:t>
            </w:r>
          </w:p>
        </w:tc>
        <w:tc>
          <w:tcPr>
            <w:tcW w:type="dxa" w:w="1108"/>
            <w:vAlign w:val="center"/>
          </w:tcPr>
          <w:p>
            <w:pPr>
              <w:spacing w:after="0"/>
            </w:pPr>
            <w:r/>
            <w:r>
              <w:rPr>
                <w:rFonts w:ascii="Arial" w:hAnsi="Arial"/>
                <w:b w:val="0"/>
                <w:sz w:val="15"/>
              </w:rPr>
              <w:t>LIR1</w:t>
            </w:r>
          </w:p>
        </w:tc>
        <w:tc>
          <w:tcPr>
            <w:tcW w:type="dxa" w:w="1108"/>
            <w:vAlign w:val="center"/>
          </w:tcPr>
          <w:p>
            <w:pPr>
              <w:spacing w:after="0"/>
            </w:pPr>
            <w:r/>
            <w:r>
              <w:rPr>
                <w:rFonts w:ascii="Arial" w:hAnsi="Arial"/>
                <w:b w:val="0"/>
                <w:sz w:val="15"/>
              </w:rPr>
              <w:t>LIR2</w:t>
            </w:r>
          </w:p>
        </w:tc>
        <w:tc>
          <w:tcPr>
            <w:tcW w:type="dxa" w:w="1108"/>
            <w:vAlign w:val="center"/>
          </w:tcPr>
          <w:p>
            <w:pPr>
              <w:spacing w:after="0"/>
            </w:pPr>
            <w:r/>
            <w:r>
              <w:rPr>
                <w:rFonts w:ascii="Arial" w:hAnsi="Arial"/>
                <w:b w:val="0"/>
                <w:sz w:val="15"/>
              </w:rPr>
              <w:t>LIR3</w:t>
            </w:r>
          </w:p>
        </w:tc>
        <w:tc>
          <w:tcPr>
            <w:tcW w:type="dxa" w:w="1108"/>
            <w:vAlign w:val="center"/>
          </w:tcPr>
          <w:p>
            <w:pPr>
              <w:spacing w:after="0"/>
            </w:pPr>
            <w:r/>
            <w:r>
              <w:rPr>
                <w:rFonts w:ascii="Arial" w:hAnsi="Arial"/>
                <w:b w:val="0"/>
                <w:sz w:val="15"/>
              </w:rPr>
              <w:t>LIR4</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t>5%</w:t>
            </w:r>
          </w:p>
        </w:tc>
        <w:tc>
          <w:tcPr>
            <w:tcW w:type="dxa" w:w="1108"/>
            <w:vAlign w:val="center"/>
          </w:tcPr>
          <w:p>
            <w:pPr>
              <w:spacing w:after="0"/>
            </w:pPr>
            <w:r/>
            <w:r>
              <w:rPr>
                <w:rFonts w:ascii="Arial" w:hAnsi="Arial"/>
                <w:b w:val="0"/>
                <w:sz w:val="15"/>
              </w:rPr>
            </w:r>
          </w:p>
        </w:tc>
        <w:tc>
          <w:tcPr>
            <w:tcW w:type="dxa" w:w="1108"/>
            <w:vAlign w:val="center"/>
          </w:tcPr>
          <w:p>
            <w:pPr>
              <w:spacing w:after="0"/>
            </w:pPr>
            <w:r/>
            <w:r>
              <w:rPr>
                <w:rFonts w:ascii="Arial" w:hAnsi="Arial"/>
                <w:b w:val="0"/>
                <w:sz w:val="15"/>
              </w:rPr>
            </w:r>
          </w:p>
        </w:tc>
      </w:tr>
      <w:tr>
        <w:tc>
          <w:tcPr>
            <w:tcW w:type="dxa" w:w="1108"/>
            <w:vAlign w:val="center"/>
            <w:shd w:fill="EAF2F8"/>
          </w:tcPr>
          <w:p>
            <w:pPr>
              <w:spacing w:after="0"/>
            </w:pPr>
            <w:r/>
            <w:r>
              <w:rPr>
                <w:rFonts w:ascii="Arial" w:hAnsi="Arial"/>
                <w:b/>
                <w:sz w:val="15"/>
              </w:rPr>
              <w:t>總計</w:t>
            </w:r>
          </w:p>
        </w:tc>
        <w:tc>
          <w:tcPr>
            <w:tcW w:type="dxa" w:w="1108"/>
            <w:vAlign w:val="center"/>
            <w:shd w:fill="EAF2F8"/>
          </w:tcPr>
          <w:p>
            <w:pPr>
              <w:spacing w:after="0"/>
            </w:pPr>
            <w:r/>
            <w:r>
              <w:rPr>
                <w:rFonts w:ascii="Arial" w:hAnsi="Arial"/>
                <w:b/>
                <w:sz w:val="15"/>
              </w:rPr>
            </w:r>
          </w:p>
        </w:tc>
        <w:tc>
          <w:tcPr>
            <w:tcW w:type="dxa" w:w="1108"/>
            <w:vAlign w:val="center"/>
            <w:shd w:fill="EAF2F8"/>
          </w:tcPr>
          <w:p>
            <w:pPr>
              <w:spacing w:after="0"/>
            </w:pPr>
            <w:r/>
            <w:r>
              <w:rPr>
                <w:rFonts w:ascii="Arial" w:hAnsi="Arial"/>
                <w:b/>
                <w:sz w:val="15"/>
              </w:rPr>
            </w:r>
          </w:p>
        </w:tc>
        <w:tc>
          <w:tcPr>
            <w:tcW w:type="dxa" w:w="1108"/>
            <w:vAlign w:val="center"/>
            <w:shd w:fill="EAF2F8"/>
          </w:tcPr>
          <w:p>
            <w:pPr>
              <w:spacing w:after="0"/>
            </w:pPr>
            <w:r/>
            <w:r>
              <w:rPr>
                <w:rFonts w:ascii="Arial" w:hAnsi="Arial"/>
                <w:b/>
                <w:sz w:val="15"/>
              </w:rPr>
            </w:r>
          </w:p>
        </w:tc>
        <w:tc>
          <w:tcPr>
            <w:tcW w:type="dxa" w:w="1108"/>
            <w:vAlign w:val="center"/>
            <w:shd w:fill="EAF2F8"/>
          </w:tcPr>
          <w:p>
            <w:pPr>
              <w:spacing w:after="0"/>
            </w:pPr>
            <w:r/>
            <w:r>
              <w:rPr>
                <w:rFonts w:ascii="Arial" w:hAnsi="Arial"/>
                <w:b/>
                <w:sz w:val="15"/>
              </w:rPr>
            </w:r>
          </w:p>
        </w:tc>
        <w:tc>
          <w:tcPr>
            <w:tcW w:type="dxa" w:w="1108"/>
            <w:vAlign w:val="center"/>
            <w:shd w:fill="EAF2F8"/>
          </w:tcPr>
          <w:p>
            <w:pPr>
              <w:spacing w:after="0"/>
            </w:pPr>
            <w:r/>
            <w:r>
              <w:rPr>
                <w:rFonts w:ascii="Arial" w:hAnsi="Arial"/>
                <w:b/>
                <w:sz w:val="15"/>
              </w:rPr>
            </w:r>
          </w:p>
        </w:tc>
        <w:tc>
          <w:tcPr>
            <w:tcW w:type="dxa" w:w="1108"/>
            <w:vAlign w:val="center"/>
            <w:shd w:fill="EAF2F8"/>
          </w:tcPr>
          <w:p>
            <w:pPr>
              <w:spacing w:after="0"/>
            </w:pPr>
            <w:r/>
            <w:r>
              <w:rPr>
                <w:rFonts w:ascii="Arial" w:hAnsi="Arial"/>
                <w:b/>
                <w:sz w:val="15"/>
              </w:rPr>
              <w:t>100%</w:t>
            </w:r>
          </w:p>
        </w:tc>
        <w:tc>
          <w:tcPr>
            <w:tcW w:type="dxa" w:w="1108"/>
            <w:vAlign w:val="center"/>
            <w:shd w:fill="EAF2F8"/>
          </w:tcPr>
          <w:p>
            <w:pPr>
              <w:spacing w:after="0"/>
            </w:pPr>
            <w:r/>
            <w:r>
              <w:rPr>
                <w:rFonts w:ascii="Arial" w:hAnsi="Arial"/>
                <w:b/>
                <w:sz w:val="15"/>
              </w:rPr>
              <w:t>AI-GWRI = ____ / 100</w:t>
            </w:r>
          </w:p>
        </w:tc>
        <w:tc>
          <w:tcPr>
            <w:tcW w:type="dxa" w:w="1108"/>
            <w:vAlign w:val="center"/>
            <w:shd w:fill="EAF2F8"/>
          </w:tcPr>
          <w:p>
            <w:pPr>
              <w:spacing w:after="0"/>
            </w:pPr>
            <w:r/>
            <w:r>
              <w:rPr>
                <w:rFonts w:ascii="Arial" w:hAnsi="Arial"/>
                <w:b/>
                <w:sz w:val="15"/>
              </w:rPr>
              <w:t>____</w:t>
            </w:r>
          </w:p>
        </w:tc>
      </w:tr>
    </w:tbl>
    <w:p/>
    <w:p>
      <w:pPr>
        <w:pStyle w:val="Heading2"/>
      </w:pPr>
      <w:r>
        <w:t>總分計算</w:t>
      </w:r>
    </w:p>
    <w:p>
      <w:pPr>
        <w:jc w:val="center"/>
      </w:pPr>
      <w:r>
        <w:rPr>
          <w:b/>
          <w:sz w:val="20"/>
        </w:rPr>
        <w:t>AI-GWRI = 25(CEG/4) + 15(QEG/4) + 15(TAG/4) + 20(SDR/4) + 10(VRG/4) + 10(VAG/4) + 5(LIR/4)</w:t>
      </w:r>
    </w:p>
    <w:p>
      <w:pPr>
        <w:pStyle w:val="Heading2"/>
      </w:pPr>
      <w:r>
        <w:t>評分品質檢查</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pPr>
            <w:r/>
            <w:r>
              <w:rPr>
                <w:rFonts w:ascii="Arial" w:hAnsi="Arial"/>
                <w:b/>
                <w:sz w:val="17"/>
              </w:rPr>
              <w:t>檢查項目</w:t>
            </w:r>
          </w:p>
        </w:tc>
        <w:tc>
          <w:tcPr>
            <w:tcW w:type="dxa" w:w="4986"/>
            <w:vAlign w:val="center"/>
            <w:shd w:fill="D9EAF7"/>
          </w:tcPr>
          <w:p>
            <w:pPr>
              <w:spacing w:after="0"/>
            </w:pPr>
            <w:r/>
            <w:r>
              <w:rPr>
                <w:rFonts w:ascii="Arial" w:hAnsi="Arial"/>
                <w:b/>
                <w:sz w:val="17"/>
              </w:rPr>
              <w:t>結果</w:t>
            </w:r>
          </w:p>
        </w:tc>
      </w:tr>
      <w:tr>
        <w:tc>
          <w:tcPr>
            <w:tcW w:type="dxa" w:w="4986"/>
            <w:vAlign w:val="center"/>
          </w:tcPr>
          <w:p>
            <w:pPr>
              <w:spacing w:after="0"/>
            </w:pPr>
            <w:r/>
            <w:r>
              <w:rPr>
                <w:rFonts w:ascii="Arial" w:hAnsi="Arial"/>
                <w:b w:val="0"/>
                <w:sz w:val="17"/>
              </w:rPr>
              <w:t>有效評分題數</w:t>
            </w:r>
          </w:p>
        </w:tc>
        <w:tc>
          <w:tcPr>
            <w:tcW w:type="dxa" w:w="4986"/>
            <w:vAlign w:val="center"/>
          </w:tcPr>
          <w:p>
            <w:pPr>
              <w:spacing w:after="0"/>
            </w:pPr>
            <w:r/>
            <w:r>
              <w:rPr>
                <w:rFonts w:ascii="Arial" w:hAnsi="Arial"/>
                <w:b w:val="0"/>
                <w:sz w:val="17"/>
              </w:rPr>
              <w:t>____ / 28</w:t>
            </w:r>
          </w:p>
        </w:tc>
      </w:tr>
      <w:tr>
        <w:tc>
          <w:tcPr>
            <w:tcW w:type="dxa" w:w="4986"/>
            <w:vAlign w:val="center"/>
          </w:tcPr>
          <w:p>
            <w:pPr>
              <w:spacing w:after="0"/>
            </w:pPr>
            <w:r/>
            <w:r>
              <w:rPr>
                <w:rFonts w:ascii="Arial" w:hAnsi="Arial"/>
                <w:b w:val="0"/>
                <w:sz w:val="17"/>
              </w:rPr>
              <w:t>NA 題數</w:t>
            </w:r>
          </w:p>
        </w:tc>
        <w:tc>
          <w:tcPr>
            <w:tcW w:type="dxa" w:w="4986"/>
            <w:vAlign w:val="center"/>
          </w:tcPr>
          <w:p>
            <w:pPr>
              <w:spacing w:after="0"/>
            </w:pPr>
            <w:r/>
            <w:r>
              <w:rPr>
                <w:rFonts w:ascii="Arial" w:hAnsi="Arial"/>
                <w:b w:val="0"/>
                <w:sz w:val="17"/>
              </w:rPr>
              <w:t>____ / 28</w:t>
            </w:r>
          </w:p>
        </w:tc>
      </w:tr>
      <w:tr>
        <w:tc>
          <w:tcPr>
            <w:tcW w:type="dxa" w:w="4986"/>
            <w:vAlign w:val="center"/>
          </w:tcPr>
          <w:p>
            <w:pPr>
              <w:spacing w:after="0"/>
            </w:pPr>
            <w:r/>
            <w:r>
              <w:rPr>
                <w:rFonts w:ascii="Arial" w:hAnsi="Arial"/>
                <w:b w:val="0"/>
                <w:sz w:val="17"/>
              </w:rPr>
              <w:t>Evidence coverage ratio</w:t>
            </w:r>
          </w:p>
        </w:tc>
        <w:tc>
          <w:tcPr>
            <w:tcW w:type="dxa" w:w="4986"/>
            <w:vAlign w:val="center"/>
          </w:tcPr>
          <w:p>
            <w:pPr>
              <w:spacing w:after="0"/>
            </w:pPr>
            <w:r/>
            <w:r>
              <w:rPr>
                <w:rFonts w:ascii="Arial" w:hAnsi="Arial"/>
                <w:b w:val="0"/>
                <w:sz w:val="17"/>
              </w:rPr>
              <w:t>____ %</w:t>
            </w:r>
          </w:p>
        </w:tc>
      </w:tr>
      <w:tr>
        <w:tc>
          <w:tcPr>
            <w:tcW w:type="dxa" w:w="4986"/>
            <w:vAlign w:val="center"/>
          </w:tcPr>
          <w:p>
            <w:pPr>
              <w:spacing w:after="0"/>
            </w:pPr>
            <w:r/>
            <w:r>
              <w:rPr>
                <w:rFonts w:ascii="Arial" w:hAnsi="Arial"/>
                <w:b w:val="0"/>
                <w:sz w:val="17"/>
              </w:rPr>
              <w:t>High-confidence 題數</w:t>
            </w:r>
          </w:p>
        </w:tc>
        <w:tc>
          <w:tcPr>
            <w:tcW w:type="dxa" w:w="4986"/>
            <w:vAlign w:val="center"/>
          </w:tcPr>
          <w:p>
            <w:pPr>
              <w:spacing w:after="0"/>
            </w:pPr>
            <w:r/>
            <w:r>
              <w:rPr>
                <w:rFonts w:ascii="Arial" w:hAnsi="Arial"/>
                <w:b w:val="0"/>
                <w:sz w:val="17"/>
              </w:rPr>
              <w:t>____ / 28</w:t>
            </w:r>
          </w:p>
        </w:tc>
      </w:tr>
      <w:tr>
        <w:tc>
          <w:tcPr>
            <w:tcW w:type="dxa" w:w="4986"/>
            <w:vAlign w:val="center"/>
          </w:tcPr>
          <w:p>
            <w:pPr>
              <w:spacing w:after="0"/>
            </w:pPr>
            <w:r/>
            <w:r>
              <w:rPr>
                <w:rFonts w:ascii="Arial" w:hAnsi="Arial"/>
                <w:b w:val="0"/>
                <w:sz w:val="17"/>
              </w:rPr>
              <w:t>具 counter-evidence 題數</w:t>
            </w:r>
          </w:p>
        </w:tc>
        <w:tc>
          <w:tcPr>
            <w:tcW w:type="dxa" w:w="4986"/>
            <w:vAlign w:val="center"/>
          </w:tcPr>
          <w:p>
            <w:pPr>
              <w:spacing w:after="0"/>
            </w:pPr>
            <w:r/>
            <w:r>
              <w:rPr>
                <w:rFonts w:ascii="Arial" w:hAnsi="Arial"/>
                <w:b w:val="0"/>
                <w:sz w:val="17"/>
              </w:rPr>
              <w:t>____ / 28</w:t>
            </w:r>
          </w:p>
        </w:tc>
      </w:tr>
      <w:tr>
        <w:tc>
          <w:tcPr>
            <w:tcW w:type="dxa" w:w="4986"/>
            <w:vAlign w:val="center"/>
          </w:tcPr>
          <w:p>
            <w:pPr>
              <w:spacing w:after="0"/>
            </w:pPr>
            <w:r/>
            <w:r>
              <w:rPr>
                <w:rFonts w:ascii="Arial" w:hAnsi="Arial"/>
                <w:b w:val="0"/>
                <w:sz w:val="17"/>
              </w:rPr>
              <w:t>跨年度可比較題數</w:t>
            </w:r>
          </w:p>
        </w:tc>
        <w:tc>
          <w:tcPr>
            <w:tcW w:type="dxa" w:w="4986"/>
            <w:vAlign w:val="center"/>
          </w:tcPr>
          <w:p>
            <w:pPr>
              <w:spacing w:after="0"/>
            </w:pPr>
            <w:r/>
            <w:r>
              <w:rPr>
                <w:rFonts w:ascii="Arial" w:hAnsi="Arial"/>
                <w:b w:val="0"/>
                <w:sz w:val="17"/>
              </w:rPr>
              <w:t>____ / 28</w:t>
            </w:r>
          </w:p>
        </w:tc>
      </w:tr>
      <w:tr>
        <w:tc>
          <w:tcPr>
            <w:tcW w:type="dxa" w:w="4986"/>
            <w:vAlign w:val="center"/>
          </w:tcPr>
          <w:p>
            <w:pPr>
              <w:spacing w:after="0"/>
            </w:pPr>
            <w:r/>
            <w:r>
              <w:rPr>
                <w:rFonts w:ascii="Arial" w:hAnsi="Arial"/>
                <w:b w:val="0"/>
                <w:sz w:val="17"/>
              </w:rPr>
              <w:t>總體資料品質</w:t>
            </w:r>
          </w:p>
        </w:tc>
        <w:tc>
          <w:tcPr>
            <w:tcW w:type="dxa" w:w="4986"/>
            <w:vAlign w:val="center"/>
          </w:tcPr>
          <w:p>
            <w:pPr>
              <w:spacing w:after="0"/>
            </w:pPr>
            <w:r/>
            <w:r>
              <w:rPr>
                <w:rFonts w:ascii="Arial" w:hAnsi="Arial"/>
                <w:b w:val="0"/>
                <w:sz w:val="17"/>
              </w:rPr>
              <w:t>□ High　□ Medium　□ Low</w:t>
            </w:r>
          </w:p>
        </w:tc>
      </w:tr>
    </w:tbl>
    <w:p>
      <w:pPr>
        <w:pStyle w:val="Heading2"/>
      </w:pPr>
      <w:r>
        <w:t>總體判讀</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spacing w:after="0"/>
            </w:pPr>
            <w:r/>
            <w:r>
              <w:rPr>
                <w:rFonts w:ascii="Arial" w:hAnsi="Arial"/>
                <w:b/>
                <w:sz w:val="16"/>
              </w:rPr>
              <w:t>項目</w:t>
            </w:r>
          </w:p>
        </w:tc>
        <w:tc>
          <w:tcPr>
            <w:tcW w:type="dxa" w:w="4986"/>
            <w:vAlign w:val="center"/>
            <w:shd w:fill="D9EAF7"/>
          </w:tcPr>
          <w:p>
            <w:pPr>
              <w:spacing w:after="0"/>
            </w:pPr>
            <w:r/>
            <w:r>
              <w:rPr>
                <w:rFonts w:ascii="Arial" w:hAnsi="Arial"/>
                <w:b/>
                <w:sz w:val="16"/>
              </w:rPr>
              <w:t>填寫內容</w:t>
            </w:r>
          </w:p>
        </w:tc>
      </w:tr>
      <w:tr>
        <w:tc>
          <w:tcPr>
            <w:tcW w:type="dxa" w:w="4986"/>
            <w:vAlign w:val="center"/>
          </w:tcPr>
          <w:p>
            <w:pPr>
              <w:spacing w:after="0"/>
            </w:pPr>
            <w:r/>
            <w:r>
              <w:rPr>
                <w:rFonts w:ascii="Arial" w:hAnsi="Arial"/>
                <w:b w:val="0"/>
                <w:sz w:val="16"/>
              </w:rPr>
              <w:t>AI-GWRI 總分</w:t>
            </w:r>
          </w:p>
        </w:tc>
        <w:tc>
          <w:tcPr>
            <w:tcW w:type="dxa" w:w="4986"/>
            <w:vAlign w:val="center"/>
          </w:tcPr>
          <w:p>
            <w:pPr>
              <w:spacing w:after="0"/>
            </w:pPr>
            <w:r/>
            <w:r>
              <w:rPr>
                <w:rFonts w:ascii="Arial" w:hAnsi="Arial"/>
                <w:b w:val="0"/>
                <w:sz w:val="16"/>
              </w:rPr>
              <w:t>____ / 100</w:t>
            </w:r>
          </w:p>
        </w:tc>
      </w:tr>
      <w:tr>
        <w:tc>
          <w:tcPr>
            <w:tcW w:type="dxa" w:w="4986"/>
            <w:vAlign w:val="center"/>
          </w:tcPr>
          <w:p>
            <w:pPr>
              <w:spacing w:after="0"/>
            </w:pPr>
            <w:r/>
            <w:r>
              <w:rPr>
                <w:rFonts w:ascii="Arial" w:hAnsi="Arial"/>
                <w:b w:val="0"/>
                <w:sz w:val="16"/>
              </w:rPr>
              <w:t>最高風險構面</w:t>
            </w:r>
          </w:p>
        </w:tc>
        <w:tc>
          <w:tcPr>
            <w:tcW w:type="dxa" w:w="4986"/>
            <w:vAlign w:val="center"/>
          </w:tcPr>
          <w:p>
            <w:pPr>
              <w:spacing w:after="0"/>
            </w:pPr>
            <w:r/>
            <w:r>
              <w:rPr>
                <w:rFonts w:ascii="Arial" w:hAnsi="Arial"/>
                <w:b w:val="0"/>
                <w:sz w:val="16"/>
              </w:rPr>
              <w:t>________________________</w:t>
            </w:r>
          </w:p>
        </w:tc>
      </w:tr>
      <w:tr>
        <w:tc>
          <w:tcPr>
            <w:tcW w:type="dxa" w:w="4986"/>
            <w:vAlign w:val="center"/>
          </w:tcPr>
          <w:p>
            <w:pPr>
              <w:spacing w:after="0"/>
            </w:pPr>
            <w:r/>
            <w:r>
              <w:rPr>
                <w:rFonts w:ascii="Arial" w:hAnsi="Arial"/>
                <w:b w:val="0"/>
                <w:sz w:val="16"/>
              </w:rPr>
              <w:t>次高風險構面</w:t>
            </w:r>
          </w:p>
        </w:tc>
        <w:tc>
          <w:tcPr>
            <w:tcW w:type="dxa" w:w="4986"/>
            <w:vAlign w:val="center"/>
          </w:tcPr>
          <w:p>
            <w:pPr>
              <w:spacing w:after="0"/>
            </w:pPr>
            <w:r/>
            <w:r>
              <w:rPr>
                <w:rFonts w:ascii="Arial" w:hAnsi="Arial"/>
                <w:b w:val="0"/>
                <w:sz w:val="16"/>
              </w:rPr>
              <w:t>________________________</w:t>
            </w:r>
          </w:p>
        </w:tc>
      </w:tr>
      <w:tr>
        <w:tc>
          <w:tcPr>
            <w:tcW w:type="dxa" w:w="4986"/>
            <w:vAlign w:val="center"/>
          </w:tcPr>
          <w:p>
            <w:pPr>
              <w:spacing w:after="0"/>
            </w:pPr>
            <w:r/>
            <w:r>
              <w:rPr>
                <w:rFonts w:ascii="Arial" w:hAnsi="Arial"/>
                <w:b w:val="0"/>
                <w:sz w:val="16"/>
              </w:rPr>
              <w:t>主要風險證據</w:t>
            </w:r>
          </w:p>
        </w:tc>
        <w:tc>
          <w:tcPr>
            <w:tcW w:type="dxa" w:w="4986"/>
            <w:vAlign w:val="center"/>
          </w:tcPr>
          <w:p>
            <w:pPr>
              <w:spacing w:after="0"/>
            </w:pPr>
            <w:r/>
            <w:r>
              <w:rPr>
                <w:rFonts w:ascii="Arial" w:hAnsi="Arial"/>
                <w:b w:val="0"/>
                <w:sz w:val="16"/>
              </w:rPr>
              <w:t>____________________________________________________________</w:t>
            </w:r>
          </w:p>
        </w:tc>
      </w:tr>
      <w:tr>
        <w:tc>
          <w:tcPr>
            <w:tcW w:type="dxa" w:w="4986"/>
            <w:vAlign w:val="center"/>
          </w:tcPr>
          <w:p>
            <w:pPr>
              <w:spacing w:after="0"/>
            </w:pPr>
            <w:r/>
            <w:r>
              <w:rPr>
                <w:rFonts w:ascii="Arial" w:hAnsi="Arial"/>
                <w:b w:val="0"/>
                <w:sz w:val="16"/>
              </w:rPr>
              <w:t>主要反向證據</w:t>
            </w:r>
          </w:p>
        </w:tc>
        <w:tc>
          <w:tcPr>
            <w:tcW w:type="dxa" w:w="4986"/>
            <w:vAlign w:val="center"/>
          </w:tcPr>
          <w:p>
            <w:pPr>
              <w:spacing w:after="0"/>
            </w:pPr>
            <w:r/>
            <w:r>
              <w:rPr>
                <w:rFonts w:ascii="Arial" w:hAnsi="Arial"/>
                <w:b w:val="0"/>
                <w:sz w:val="16"/>
              </w:rPr>
              <w:t>____________________________________________________________</w:t>
            </w:r>
          </w:p>
        </w:tc>
      </w:tr>
      <w:tr>
        <w:tc>
          <w:tcPr>
            <w:tcW w:type="dxa" w:w="4986"/>
            <w:vAlign w:val="center"/>
          </w:tcPr>
          <w:p>
            <w:pPr>
              <w:spacing w:after="0"/>
            </w:pPr>
            <w:r/>
            <w:r>
              <w:rPr>
                <w:rFonts w:ascii="Arial" w:hAnsi="Arial"/>
                <w:b w:val="0"/>
                <w:sz w:val="16"/>
              </w:rPr>
              <w:t>跨年度趨勢</w:t>
            </w:r>
          </w:p>
        </w:tc>
        <w:tc>
          <w:tcPr>
            <w:tcW w:type="dxa" w:w="4986"/>
            <w:vAlign w:val="center"/>
          </w:tcPr>
          <w:p>
            <w:pPr>
              <w:spacing w:after="0"/>
            </w:pPr>
            <w:r/>
            <w:r>
              <w:rPr>
                <w:rFonts w:ascii="Arial" w:hAnsi="Arial"/>
                <w:b w:val="0"/>
                <w:sz w:val="16"/>
              </w:rPr>
              <w:t>□ Improved　□ Stable　□ Deteriorated　□ NA</w:t>
            </w:r>
          </w:p>
        </w:tc>
      </w:tr>
      <w:tr>
        <w:tc>
          <w:tcPr>
            <w:tcW w:type="dxa" w:w="4986"/>
            <w:vAlign w:val="center"/>
          </w:tcPr>
          <w:p>
            <w:pPr>
              <w:spacing w:after="0"/>
            </w:pPr>
            <w:r/>
            <w:r>
              <w:rPr>
                <w:rFonts w:ascii="Arial" w:hAnsi="Arial"/>
                <w:b w:val="0"/>
                <w:sz w:val="16"/>
              </w:rPr>
              <w:t>最終判讀</w:t>
            </w:r>
          </w:p>
        </w:tc>
        <w:tc>
          <w:tcPr>
            <w:tcW w:type="dxa" w:w="4986"/>
            <w:vAlign w:val="center"/>
          </w:tcPr>
          <w:p>
            <w:pPr>
              <w:spacing w:after="0"/>
            </w:pPr>
            <w:r/>
            <w:r>
              <w:rPr>
                <w:rFonts w:ascii="Arial" w:hAnsi="Arial"/>
                <w:b w:val="0"/>
                <w:sz w:val="16"/>
              </w:rPr>
              <w:t>本分數代表永續報告書所呈現之漂綠風險，不等同於已確認之漂綠事件。</w:t>
            </w:r>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AI-GWRI Codebook Version 1.1｜含公司年度總評分表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JhengHei"/>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Jheng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JhengHe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Jheng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Jheng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