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AMALIY MASHG‘ULOT №2</w:t>
      </w:r>
    </w:p>
    <w:p>
      <w:pPr>
        <w:jc w:val="center"/>
      </w:pPr>
      <w:r>
        <w:rPr>
          <w:rFonts w:ascii="Times New Roman" w:hAnsi="Times New Roman"/>
          <w:b/>
          <w:sz w:val="30"/>
        </w:rPr>
        <w:t>TASHKILIY TUZILMALAR VA LOYIHA MUHITI</w:t>
      </w:r>
    </w:p>
    <w:p>
      <w:pPr>
        <w:jc w:val="center"/>
      </w:pPr>
      <w:r>
        <w:rPr>
          <w:rFonts w:ascii="Times New Roman" w:hAnsi="Times New Roman"/>
          <w:i/>
          <w:sz w:val="22"/>
        </w:rPr>
        <w:t>Darslikdagi 2-BOB mavzusi asosida</w:t>
      </w:r>
    </w:p>
    <w:p>
      <w:pPr>
        <w:spacing w:before="120" w:after="60"/>
      </w:pPr>
      <w:r>
        <w:rPr>
          <w:rFonts w:ascii="Times New Roman" w:hAnsi="Times New Roman"/>
          <w:b/>
          <w:sz w:val="26"/>
        </w:rPr>
        <w:t>1. Mashg‘ulot maqsadi</w:t>
      </w:r>
    </w:p>
    <w:p>
      <w:pPr>
        <w:spacing w:line="276" w:lineRule="auto" w:after="60"/>
        <w:ind w:firstLine="709"/>
      </w:pPr>
      <w:r>
        <w:rPr>
          <w:rFonts w:ascii="Times New Roman" w:hAnsi="Times New Roman"/>
          <w:sz w:val="24"/>
        </w:rPr>
        <w:t>Turli tashkiliy tuzilmalarning loyiha boshqaruviga ta’sirini, ichki va tashqi muhit omillarini hamda loyiha manfaatdor tomonlari bilan bog‘liqlikni amaliy tahlil qilish.</w:t>
      </w:r>
    </w:p>
    <w:p>
      <w:pPr>
        <w:spacing w:before="120" w:after="60"/>
      </w:pPr>
      <w:r>
        <w:rPr>
          <w:rFonts w:ascii="Times New Roman" w:hAnsi="Times New Roman"/>
          <w:b/>
          <w:sz w:val="26"/>
        </w:rPr>
        <w:t>2. Kutiladigan o‘quv natijalari</w:t>
      </w:r>
    </w:p>
    <w:p>
      <w:pPr>
        <w:pStyle w:val="ListBullet"/>
        <w:ind w:left="397"/>
      </w:pPr>
      <w:r>
        <w:rPr>
          <w:rFonts w:ascii="Times New Roman" w:hAnsi="Times New Roman"/>
          <w:sz w:val="24"/>
        </w:rPr>
        <w:t>funksional, matritsali va loyihaviy tuzilmalarning farqlarini aniqlaydi;</w:t>
      </w:r>
    </w:p>
    <w:p>
      <w:pPr>
        <w:pStyle w:val="ListBullet"/>
        <w:ind w:left="397"/>
      </w:pPr>
      <w:r>
        <w:rPr>
          <w:rFonts w:ascii="Times New Roman" w:hAnsi="Times New Roman"/>
          <w:sz w:val="24"/>
        </w:rPr>
        <w:t>tashkiliy tuzilmaning loyiha menejeri vakolatiga ta’sirini baholaydi;</w:t>
      </w:r>
    </w:p>
    <w:p>
      <w:pPr>
        <w:pStyle w:val="ListBullet"/>
        <w:ind w:left="397"/>
      </w:pPr>
      <w:r>
        <w:rPr>
          <w:rFonts w:ascii="Times New Roman" w:hAnsi="Times New Roman"/>
          <w:sz w:val="24"/>
        </w:rPr>
        <w:t>loyiha muhitining ichki va tashqi omillarini ajratadi;</w:t>
      </w:r>
    </w:p>
    <w:p>
      <w:pPr>
        <w:pStyle w:val="ListBullet"/>
        <w:ind w:left="397"/>
      </w:pPr>
      <w:r>
        <w:rPr>
          <w:rFonts w:ascii="Times New Roman" w:hAnsi="Times New Roman"/>
          <w:sz w:val="24"/>
        </w:rPr>
        <w:t>PESTLE usulida tashqi muhitni tahlil qiladi;</w:t>
      </w:r>
    </w:p>
    <w:p>
      <w:pPr>
        <w:pStyle w:val="ListBullet"/>
        <w:ind w:left="397"/>
      </w:pPr>
      <w:r>
        <w:rPr>
          <w:rFonts w:ascii="Times New Roman" w:hAnsi="Times New Roman"/>
          <w:sz w:val="24"/>
        </w:rPr>
        <w:t>korxona jarayon aktivlari va tashkiliy omillardan foydalanish yo‘llarini belgilaydi.</w:t>
      </w:r>
    </w:p>
    <w:p>
      <w:pPr>
        <w:spacing w:before="120" w:after="60"/>
      </w:pPr>
      <w:r>
        <w:rPr>
          <w:rFonts w:ascii="Times New Roman" w:hAnsi="Times New Roman"/>
          <w:b/>
          <w:sz w:val="26"/>
        </w:rPr>
        <w:t>3. Tayanch tushunchalar</w:t>
      </w:r>
    </w:p>
    <w:p>
      <w:pPr>
        <w:spacing w:line="276" w:lineRule="auto" w:after="60"/>
        <w:ind w:firstLine="709"/>
      </w:pPr>
      <w:r>
        <w:rPr>
          <w:rFonts w:ascii="Times New Roman" w:hAnsi="Times New Roman"/>
          <w:sz w:val="24"/>
        </w:rPr>
        <w:t>funksional tuzilma, matritsali tuzilma, loyihaviy tuzilma, loyiha muhiti, ichki omillar, tashqi omillar, PESTLE, jarayon aktivlari</w:t>
      </w:r>
    </w:p>
    <w:p>
      <w:pPr>
        <w:spacing w:before="120" w:after="60"/>
      </w:pPr>
      <w:r>
        <w:rPr>
          <w:rFonts w:ascii="Times New Roman" w:hAnsi="Times New Roman"/>
          <w:b/>
          <w:sz w:val="26"/>
        </w:rPr>
        <w:t>4. Mashg‘ulotni tashkil etish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vAlign w:val="center"/>
          </w:tcPr>
          <w:p>
            <w:pPr>
              <w:jc w:val="center"/>
            </w:pPr>
            <w:r>
              <w:rPr>
                <w:rFonts w:ascii="Times New Roman" w:hAnsi="Times New Roman"/>
                <w:b/>
                <w:sz w:val="21"/>
              </w:rPr>
              <w:t>Bosqich</w:t>
            </w:r>
          </w:p>
        </w:tc>
        <w:tc>
          <w:tcPr>
            <w:tcW w:type="dxa" w:w="3230"/>
            <w:shd w:fill="D9EAF7"/>
            <w:vAlign w:val="center"/>
          </w:tcPr>
          <w:p>
            <w:pPr>
              <w:jc w:val="center"/>
            </w:pPr>
            <w:r>
              <w:rPr>
                <w:rFonts w:ascii="Times New Roman" w:hAnsi="Times New Roman"/>
                <w:b/>
                <w:sz w:val="21"/>
              </w:rPr>
              <w:t>Vaqt</w:t>
            </w:r>
          </w:p>
        </w:tc>
        <w:tc>
          <w:tcPr>
            <w:tcW w:type="dxa" w:w="3230"/>
            <w:shd w:fill="D9EAF7"/>
            <w:vAlign w:val="center"/>
          </w:tcPr>
          <w:p>
            <w:pPr>
              <w:jc w:val="center"/>
            </w:pPr>
            <w:r>
              <w:rPr>
                <w:rFonts w:ascii="Times New Roman" w:hAnsi="Times New Roman"/>
                <w:b/>
                <w:sz w:val="21"/>
              </w:rPr>
              <w:t>Faoliyat</w:t>
            </w:r>
          </w:p>
        </w:tc>
      </w:tr>
      <w:tr>
        <w:tc>
          <w:tcPr>
            <w:tcW w:type="dxa" w:w="3230"/>
            <w:vAlign w:val="center"/>
          </w:tcPr>
          <w:p>
            <w:r>
              <w:rPr>
                <w:rFonts w:ascii="Times New Roman" w:hAnsi="Times New Roman"/>
                <w:sz w:val="21"/>
              </w:rPr>
              <w:t>Kirish va vazifalarni tushuntirish</w:t>
            </w:r>
          </w:p>
        </w:tc>
        <w:tc>
          <w:tcPr>
            <w:tcW w:type="dxa" w:w="3230"/>
            <w:vAlign w:val="center"/>
          </w:tcPr>
          <w:p>
            <w:r>
              <w:rPr>
                <w:rFonts w:ascii="Times New Roman" w:hAnsi="Times New Roman"/>
                <w:sz w:val="21"/>
              </w:rPr>
              <w:t>10 daqiqa</w:t>
            </w:r>
          </w:p>
        </w:tc>
        <w:tc>
          <w:tcPr>
            <w:tcW w:type="dxa" w:w="3230"/>
            <w:vAlign w:val="center"/>
          </w:tcPr>
          <w:p>
            <w:r>
              <w:rPr>
                <w:rFonts w:ascii="Times New Roman" w:hAnsi="Times New Roman"/>
                <w:sz w:val="21"/>
              </w:rPr>
              <w:t>Savol-javob, qisqa muammoli vaziyat</w:t>
            </w:r>
          </w:p>
        </w:tc>
      </w:tr>
      <w:tr>
        <w:tc>
          <w:tcPr>
            <w:tcW w:type="dxa" w:w="3230"/>
            <w:vAlign w:val="center"/>
          </w:tcPr>
          <w:p>
            <w:r>
              <w:rPr>
                <w:rFonts w:ascii="Times New Roman" w:hAnsi="Times New Roman"/>
                <w:sz w:val="21"/>
              </w:rPr>
              <w:t>Asosiy amaliy topshiriqlar</w:t>
            </w:r>
          </w:p>
        </w:tc>
        <w:tc>
          <w:tcPr>
            <w:tcW w:type="dxa" w:w="3230"/>
            <w:vAlign w:val="center"/>
          </w:tcPr>
          <w:p>
            <w:r>
              <w:rPr>
                <w:rFonts w:ascii="Times New Roman" w:hAnsi="Times New Roman"/>
                <w:sz w:val="21"/>
              </w:rPr>
              <w:t>45 daqiqa</w:t>
            </w:r>
          </w:p>
        </w:tc>
        <w:tc>
          <w:tcPr>
            <w:tcW w:type="dxa" w:w="3230"/>
            <w:vAlign w:val="center"/>
          </w:tcPr>
          <w:p>
            <w:r>
              <w:rPr>
                <w:rFonts w:ascii="Times New Roman" w:hAnsi="Times New Roman"/>
                <w:sz w:val="21"/>
              </w:rPr>
              <w:t>Individual va kichik guruhlar</w:t>
            </w:r>
          </w:p>
        </w:tc>
      </w:tr>
      <w:tr>
        <w:tc>
          <w:tcPr>
            <w:tcW w:type="dxa" w:w="3230"/>
            <w:vAlign w:val="center"/>
          </w:tcPr>
          <w:p>
            <w:r>
              <w:rPr>
                <w:rFonts w:ascii="Times New Roman" w:hAnsi="Times New Roman"/>
                <w:sz w:val="21"/>
              </w:rPr>
              <w:t>Vaziyatli masala</w:t>
            </w:r>
          </w:p>
        </w:tc>
        <w:tc>
          <w:tcPr>
            <w:tcW w:type="dxa" w:w="3230"/>
            <w:vAlign w:val="center"/>
          </w:tcPr>
          <w:p>
            <w:r>
              <w:rPr>
                <w:rFonts w:ascii="Times New Roman" w:hAnsi="Times New Roman"/>
                <w:sz w:val="21"/>
              </w:rPr>
              <w:t>15 daqiqa</w:t>
            </w:r>
          </w:p>
        </w:tc>
        <w:tc>
          <w:tcPr>
            <w:tcW w:type="dxa" w:w="3230"/>
            <w:vAlign w:val="center"/>
          </w:tcPr>
          <w:p>
            <w:r>
              <w:rPr>
                <w:rFonts w:ascii="Times New Roman" w:hAnsi="Times New Roman"/>
                <w:sz w:val="21"/>
              </w:rPr>
              <w:t>Guruhli tahlil va qaror qabul qilish</w:t>
            </w:r>
          </w:p>
        </w:tc>
      </w:tr>
      <w:tr>
        <w:tc>
          <w:tcPr>
            <w:tcW w:type="dxa" w:w="3230"/>
            <w:vAlign w:val="center"/>
          </w:tcPr>
          <w:p>
            <w:r>
              <w:rPr>
                <w:rFonts w:ascii="Times New Roman" w:hAnsi="Times New Roman"/>
                <w:sz w:val="21"/>
              </w:rPr>
              <w:t>Taqdimot, tahlil va baholash</w:t>
            </w:r>
          </w:p>
        </w:tc>
        <w:tc>
          <w:tcPr>
            <w:tcW w:type="dxa" w:w="3230"/>
            <w:vAlign w:val="center"/>
          </w:tcPr>
          <w:p>
            <w:r>
              <w:rPr>
                <w:rFonts w:ascii="Times New Roman" w:hAnsi="Times New Roman"/>
                <w:sz w:val="21"/>
              </w:rPr>
              <w:t>10 daqiqa</w:t>
            </w:r>
          </w:p>
        </w:tc>
        <w:tc>
          <w:tcPr>
            <w:tcW w:type="dxa" w:w="3230"/>
            <w:vAlign w:val="center"/>
          </w:tcPr>
          <w:p>
            <w:r>
              <w:rPr>
                <w:rFonts w:ascii="Times New Roman" w:hAnsi="Times New Roman"/>
                <w:sz w:val="21"/>
              </w:rPr>
              <w:t>Qisqa himoya va feedback</w:t>
            </w:r>
          </w:p>
        </w:tc>
      </w:tr>
    </w:tbl>
    <w:p/>
    <w:p>
      <w:pPr>
        <w:spacing w:before="120" w:after="60"/>
      </w:pPr>
      <w:r>
        <w:rPr>
          <w:rFonts w:ascii="Times New Roman" w:hAnsi="Times New Roman"/>
          <w:b/>
          <w:sz w:val="26"/>
        </w:rPr>
        <w:t>5. Amaliy topshiriqlar</w:t>
      </w:r>
    </w:p>
    <w:p>
      <w:pPr>
        <w:spacing w:before="120" w:after="60"/>
      </w:pPr>
      <w:r>
        <w:rPr>
          <w:rFonts w:ascii="Times New Roman" w:hAnsi="Times New Roman"/>
          <w:b/>
          <w:sz w:val="24"/>
        </w:rPr>
        <w:t>1-topshiriq. Tashkiliy tuzilmani tanlash</w:t>
      </w:r>
    </w:p>
    <w:p>
      <w:pPr>
        <w:spacing w:line="276" w:lineRule="auto" w:after="60"/>
        <w:ind w:firstLine="709"/>
      </w:pPr>
      <w:r>
        <w:rPr>
          <w:rFonts w:ascii="Times New Roman" w:hAnsi="Times New Roman"/>
          <w:sz w:val="24"/>
        </w:rPr>
        <w:t>Uchta vaziyatni tahlil qiling: a) kichik turagentlik; b) 5 ta bo‘limi mavjud mehmonxona tarmog‘i; c) xalqaro festivalni tashkil etuvchi vaqtinchalik loyiha ofisi. Har biri uchun funksional, kuchsiz/kuchli matritsali yoki loyihaviy tuzilmalardan mosini tanlang va asoslang.</w:t>
      </w:r>
    </w:p>
    <w:p>
      <w:pPr>
        <w:spacing w:line="276" w:lineRule="auto" w:after="60"/>
        <w:ind w:firstLine="709"/>
      </w:pPr>
      <w:r>
        <w:rPr>
          <w:rFonts w:ascii="Times New Roman" w:hAnsi="Times New Roman"/>
          <w:sz w:val="24"/>
        </w:rPr>
        <w:t>Natijani jadval, sxema yoki qisqa boshqaruv hujjati ko‘rinishida rasmiylashtiring.</w:t>
      </w:r>
    </w:p>
    <w:p>
      <w:pPr>
        <w:spacing w:before="120" w:after="60"/>
      </w:pPr>
      <w:r>
        <w:rPr>
          <w:rFonts w:ascii="Times New Roman" w:hAnsi="Times New Roman"/>
          <w:b/>
          <w:sz w:val="24"/>
        </w:rPr>
        <w:t>2-topshiriq. Vakolatlar xaritasi</w:t>
      </w:r>
    </w:p>
    <w:p>
      <w:pPr>
        <w:spacing w:line="276" w:lineRule="auto" w:after="60"/>
        <w:ind w:firstLine="709"/>
      </w:pPr>
      <w:r>
        <w:rPr>
          <w:rFonts w:ascii="Times New Roman" w:hAnsi="Times New Roman"/>
          <w:sz w:val="24"/>
        </w:rPr>
        <w:t>Loyiha menejeri, funksional rahbar va homiyning vakolatlarini 6 ta qaror bo‘yicha taqsimlang: budjet, xodim tayinlash, jadval, sifat, xarid, o‘zgarishlarni tasdiqlash.</w:t>
      </w:r>
    </w:p>
    <w:p>
      <w:pPr>
        <w:spacing w:line="276" w:lineRule="auto" w:after="60"/>
        <w:ind w:firstLine="709"/>
      </w:pPr>
      <w:r>
        <w:rPr>
          <w:rFonts w:ascii="Times New Roman" w:hAnsi="Times New Roman"/>
          <w:sz w:val="24"/>
        </w:rPr>
        <w:t>Natijani jadval, sxema yoki qisqa boshqaruv hujjati ko‘rinishida rasmiylashtiring.</w:t>
      </w:r>
    </w:p>
    <w:p>
      <w:pPr>
        <w:spacing w:before="120" w:after="60"/>
      </w:pPr>
      <w:r>
        <w:rPr>
          <w:rFonts w:ascii="Times New Roman" w:hAnsi="Times New Roman"/>
          <w:b/>
          <w:sz w:val="24"/>
        </w:rPr>
        <w:t>3-topshiriq. PESTLE tahlili</w:t>
      </w:r>
    </w:p>
    <w:p>
      <w:pPr>
        <w:spacing w:line="276" w:lineRule="auto" w:after="60"/>
        <w:ind w:firstLine="709"/>
      </w:pPr>
      <w:r>
        <w:rPr>
          <w:rFonts w:ascii="Times New Roman" w:hAnsi="Times New Roman"/>
          <w:sz w:val="24"/>
        </w:rPr>
        <w:t>“Hududiy turizm axborot markazini raqamlashtirish” loyihasi uchun siyosiy-huquqiy, iqtisodiy, ijtimoiy, texnologik, ekologik va boshqa tashqi omillar bo‘yicha kamida 2 tadan omil yozing. Har bir omil uchun ta’sir darajasini: past, o‘rta yoki yuqori deb belgilang.</w:t>
      </w:r>
    </w:p>
    <w:p>
      <w:pPr>
        <w:spacing w:line="276" w:lineRule="auto" w:after="60"/>
        <w:ind w:firstLine="709"/>
      </w:pPr>
      <w:r>
        <w:rPr>
          <w:rFonts w:ascii="Times New Roman" w:hAnsi="Times New Roman"/>
          <w:sz w:val="24"/>
        </w:rPr>
        <w:t>Natijani jadval, sxema yoki qisqa boshqaruv hujjati ko‘rinishida rasmiylashtiring.</w:t>
      </w:r>
    </w:p>
    <w:p>
      <w:pPr>
        <w:spacing w:before="120" w:after="60"/>
      </w:pPr>
      <w:r>
        <w:rPr>
          <w:rFonts w:ascii="Times New Roman" w:hAnsi="Times New Roman"/>
          <w:b/>
          <w:sz w:val="24"/>
        </w:rPr>
        <w:t>4-topshiriq. Ichki muhit diagnostikasi</w:t>
      </w:r>
    </w:p>
    <w:p>
      <w:pPr>
        <w:spacing w:line="276" w:lineRule="auto" w:after="60"/>
        <w:ind w:firstLine="709"/>
      </w:pPr>
      <w:r>
        <w:rPr>
          <w:rFonts w:ascii="Times New Roman" w:hAnsi="Times New Roman"/>
          <w:sz w:val="24"/>
        </w:rPr>
        <w:t>Loyiha muvaffaqiyatiga ta’sir qiluvchi ichki omillar ro‘yxatini tuzing: tashkilot madaniyati, boshqaruv uslubi, IT infratuzilma, xodimlar malakasi, moliyaviy tartiblar, standartlar. Har bir omil bo‘yicha “kuchli tomon / muammo / zarur chora” ustunlarini to‘ldiring.</w:t>
      </w:r>
    </w:p>
    <w:p>
      <w:pPr>
        <w:spacing w:line="276" w:lineRule="auto" w:after="60"/>
        <w:ind w:firstLine="709"/>
      </w:pPr>
      <w:r>
        <w:rPr>
          <w:rFonts w:ascii="Times New Roman" w:hAnsi="Times New Roman"/>
          <w:sz w:val="24"/>
        </w:rPr>
        <w:t>Natijani jadval, sxema yoki qisqa boshqaruv hujjati ko‘rinishida rasmiylashtiring.</w:t>
      </w:r>
    </w:p>
    <w:p>
      <w:pPr>
        <w:spacing w:before="120" w:after="60"/>
      </w:pPr>
      <w:r>
        <w:rPr>
          <w:rFonts w:ascii="Times New Roman" w:hAnsi="Times New Roman"/>
          <w:b/>
          <w:sz w:val="24"/>
        </w:rPr>
        <w:t>5-topshiriq. Jarayon aktivlari inventarizatsiyasi</w:t>
      </w:r>
    </w:p>
    <w:p>
      <w:pPr>
        <w:spacing w:line="276" w:lineRule="auto" w:after="60"/>
        <w:ind w:firstLine="709"/>
      </w:pPr>
      <w:r>
        <w:rPr>
          <w:rFonts w:ascii="Times New Roman" w:hAnsi="Times New Roman"/>
          <w:sz w:val="24"/>
        </w:rPr>
        <w:t>Tashkilotda mavjud bo‘lishi mumkin bo‘lgan 10 ta jarayon aktivini yozing (shablonlar, avvalgi loyiha hisobotlari, risk reyestri, xarid shakllari va h.k.) va ulardan loyiha qaysi bosqichida foydalanilishini ko‘rsating.</w:t>
      </w:r>
    </w:p>
    <w:p>
      <w:pPr>
        <w:spacing w:line="276" w:lineRule="auto" w:after="60"/>
        <w:ind w:firstLine="709"/>
      </w:pPr>
      <w:r>
        <w:rPr>
          <w:rFonts w:ascii="Times New Roman" w:hAnsi="Times New Roman"/>
          <w:sz w:val="24"/>
        </w:rPr>
        <w:t>Natijani jadval, sxema yoki qisqa boshqaruv hujjati ko‘rinishida rasmiylashtiring.</w:t>
      </w:r>
    </w:p>
    <w:p>
      <w:pPr>
        <w:spacing w:before="120" w:after="60"/>
      </w:pPr>
      <w:r>
        <w:rPr>
          <w:rFonts w:ascii="Times New Roman" w:hAnsi="Times New Roman"/>
          <w:b/>
          <w:sz w:val="26"/>
        </w:rPr>
        <w:t>6. Vaziyatli masala</w:t>
      </w:r>
    </w:p>
    <w:p>
      <w:pPr>
        <w:spacing w:line="276" w:lineRule="auto" w:after="60"/>
        <w:ind w:firstLine="709"/>
      </w:pPr>
      <w:r>
        <w:rPr>
          <w:rFonts w:ascii="Times New Roman" w:hAnsi="Times New Roman"/>
          <w:sz w:val="24"/>
        </w:rPr>
        <w:t>Mehmonxona tarmog‘i barcha filiallarda yagona CRM tizimini joriy etmoqchi. IT bo‘limi funksional rahbarga, marketing va sotuv bo‘limlari esa boshqa rahbarlarga bo‘ysunadi. Loyiha menejeriga to‘liq vakolat berilmagan. Shu sharoitda eng maqbul tashkiliy yechimni va muvofiqlashtirish mexanizmini ishlab chiqing.</w:t>
      </w:r>
    </w:p>
    <w:p>
      <w:pPr>
        <w:spacing w:line="276" w:lineRule="auto" w:after="60"/>
        <w:ind w:firstLine="709"/>
      </w:pPr>
      <w:r>
        <w:rPr>
          <w:rFonts w:ascii="Times New Roman" w:hAnsi="Times New Roman"/>
          <w:sz w:val="24"/>
        </w:rPr>
        <w:t>Talab: muammoni aniqlang, kamida 3 ta yechim variantini ishlab chiqing, variantlarni mezonlar asosida solishtiring va tanlangan qarorni asoslang.</w:t>
      </w:r>
    </w:p>
    <w:p>
      <w:pPr>
        <w:spacing w:before="120" w:after="60"/>
      </w:pPr>
      <w:r>
        <w:rPr>
          <w:rFonts w:ascii="Times New Roman" w:hAnsi="Times New Roman"/>
          <w:b/>
          <w:sz w:val="26"/>
        </w:rPr>
        <w:t>7. Natijani rasmiylashtirish uchun ishchi jadval</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vAlign w:val="center"/>
          </w:tcPr>
          <w:p>
            <w:pPr>
              <w:jc w:val="center"/>
            </w:pPr>
            <w:r>
              <w:rPr>
                <w:rFonts w:ascii="Times New Roman" w:hAnsi="Times New Roman"/>
                <w:b/>
                <w:sz w:val="21"/>
              </w:rPr>
              <w:t>Omil / tuzilma</w:t>
            </w:r>
          </w:p>
        </w:tc>
        <w:tc>
          <w:tcPr>
            <w:tcW w:type="dxa" w:w="2422"/>
            <w:shd w:fill="D9EAF7"/>
            <w:vAlign w:val="center"/>
          </w:tcPr>
          <w:p>
            <w:pPr>
              <w:jc w:val="center"/>
            </w:pPr>
            <w:r>
              <w:rPr>
                <w:rFonts w:ascii="Times New Roman" w:hAnsi="Times New Roman"/>
                <w:b/>
                <w:sz w:val="21"/>
              </w:rPr>
              <w:t>Ta’sir</w:t>
            </w:r>
          </w:p>
        </w:tc>
        <w:tc>
          <w:tcPr>
            <w:tcW w:type="dxa" w:w="2422"/>
            <w:shd w:fill="D9EAF7"/>
            <w:vAlign w:val="center"/>
          </w:tcPr>
          <w:p>
            <w:pPr>
              <w:jc w:val="center"/>
            </w:pPr>
            <w:r>
              <w:rPr>
                <w:rFonts w:ascii="Times New Roman" w:hAnsi="Times New Roman"/>
                <w:b/>
                <w:sz w:val="21"/>
              </w:rPr>
              <w:t>Daraja</w:t>
            </w:r>
          </w:p>
        </w:tc>
        <w:tc>
          <w:tcPr>
            <w:tcW w:type="dxa" w:w="2422"/>
            <w:shd w:fill="D9EAF7"/>
            <w:vAlign w:val="center"/>
          </w:tcPr>
          <w:p>
            <w:pPr>
              <w:jc w:val="center"/>
            </w:pPr>
            <w:r>
              <w:rPr>
                <w:rFonts w:ascii="Times New Roman" w:hAnsi="Times New Roman"/>
                <w:b/>
                <w:sz w:val="21"/>
              </w:rPr>
              <w:t>Boshqaruv chorasi</w:t>
            </w:r>
          </w:p>
        </w:tc>
      </w:tr>
      <w:tr>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r>
      <w:tr>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r>
      <w:tr>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r>
      <w:tr>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r>
      <w:tr>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r>
      <w:tr>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r>
    </w:tbl>
    <w:p/>
    <w:p>
      <w:pPr>
        <w:spacing w:before="120" w:after="60"/>
      </w:pPr>
      <w:r>
        <w:rPr>
          <w:rFonts w:ascii="Times New Roman" w:hAnsi="Times New Roman"/>
          <w:b/>
          <w:sz w:val="26"/>
        </w:rPr>
        <w:t>8. Nazorat savollari</w:t>
      </w:r>
    </w:p>
    <w:p>
      <w:pPr>
        <w:pStyle w:val="ListBullet"/>
        <w:ind w:left="397"/>
      </w:pPr>
      <w:r>
        <w:rPr>
          <w:rFonts w:ascii="Times New Roman" w:hAnsi="Times New Roman"/>
          <w:sz w:val="24"/>
        </w:rPr>
        <w:t>Tashkiliy tuzilma loyiha menejeri vakolatiga qanday ta’sir qiladi?</w:t>
      </w:r>
    </w:p>
    <w:p>
      <w:pPr>
        <w:pStyle w:val="ListBullet"/>
        <w:ind w:left="397"/>
      </w:pPr>
      <w:r>
        <w:rPr>
          <w:rFonts w:ascii="Times New Roman" w:hAnsi="Times New Roman"/>
          <w:sz w:val="24"/>
        </w:rPr>
        <w:t>Matritsali tuzilmaning afzalligi va muammosi nimada?</w:t>
      </w:r>
    </w:p>
    <w:p>
      <w:pPr>
        <w:pStyle w:val="ListBullet"/>
        <w:ind w:left="397"/>
      </w:pPr>
      <w:r>
        <w:rPr>
          <w:rFonts w:ascii="Times New Roman" w:hAnsi="Times New Roman"/>
          <w:sz w:val="24"/>
        </w:rPr>
        <w:t>Loyiha tashqi muhitini qanday usulda tahlil qilish mumkin?</w:t>
      </w:r>
    </w:p>
    <w:p>
      <w:pPr>
        <w:pStyle w:val="ListBullet"/>
        <w:ind w:left="397"/>
      </w:pPr>
      <w:r>
        <w:rPr>
          <w:rFonts w:ascii="Times New Roman" w:hAnsi="Times New Roman"/>
          <w:sz w:val="24"/>
        </w:rPr>
        <w:t>Jarayon aktivlari nima uchun kerak?</w:t>
      </w:r>
    </w:p>
    <w:p>
      <w:pPr>
        <w:pStyle w:val="ListBullet"/>
        <w:ind w:left="397"/>
      </w:pPr>
      <w:r>
        <w:rPr>
          <w:rFonts w:ascii="Times New Roman" w:hAnsi="Times New Roman"/>
          <w:sz w:val="24"/>
        </w:rPr>
        <w:t>Ichki va tashqi omillar o‘rtasidagi farq nima?</w:t>
      </w:r>
    </w:p>
    <w:p>
      <w:pPr>
        <w:spacing w:before="120" w:after="60"/>
      </w:pPr>
      <w:r>
        <w:rPr>
          <w:rFonts w:ascii="Times New Roman" w:hAnsi="Times New Roman"/>
          <w:b/>
          <w:sz w:val="26"/>
        </w:rPr>
        <w:t>9. Baholash mezoni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vAlign w:val="center"/>
          </w:tcPr>
          <w:p>
            <w:pPr>
              <w:jc w:val="center"/>
            </w:pPr>
            <w:r>
              <w:rPr>
                <w:rFonts w:ascii="Times New Roman" w:hAnsi="Times New Roman"/>
                <w:b/>
                <w:sz w:val="21"/>
              </w:rPr>
              <w:t>Mezon</w:t>
            </w:r>
          </w:p>
        </w:tc>
        <w:tc>
          <w:tcPr>
            <w:tcW w:type="dxa" w:w="4844"/>
            <w:shd w:fill="D9EAF7"/>
            <w:vAlign w:val="center"/>
          </w:tcPr>
          <w:p>
            <w:pPr>
              <w:jc w:val="center"/>
            </w:pPr>
            <w:r>
              <w:rPr>
                <w:rFonts w:ascii="Times New Roman" w:hAnsi="Times New Roman"/>
                <w:b/>
                <w:sz w:val="21"/>
              </w:rPr>
              <w:t>Ball</w:t>
            </w:r>
          </w:p>
        </w:tc>
      </w:tr>
      <w:tr>
        <w:tc>
          <w:tcPr>
            <w:tcW w:type="dxa" w:w="4844"/>
            <w:vAlign w:val="center"/>
          </w:tcPr>
          <w:p>
            <w:r>
              <w:rPr>
                <w:rFonts w:ascii="Times New Roman" w:hAnsi="Times New Roman"/>
                <w:sz w:val="21"/>
              </w:rPr>
              <w:t>Nazariy tushunchalarni to‘g‘ri qo‘llash</w:t>
            </w:r>
          </w:p>
        </w:tc>
        <w:tc>
          <w:tcPr>
            <w:tcW w:type="dxa" w:w="4844"/>
            <w:vAlign w:val="center"/>
          </w:tcPr>
          <w:p>
            <w:r>
              <w:rPr>
                <w:rFonts w:ascii="Times New Roman" w:hAnsi="Times New Roman"/>
                <w:sz w:val="21"/>
              </w:rPr>
              <w:t>20</w:t>
            </w:r>
          </w:p>
        </w:tc>
      </w:tr>
      <w:tr>
        <w:tc>
          <w:tcPr>
            <w:tcW w:type="dxa" w:w="4844"/>
            <w:vAlign w:val="center"/>
          </w:tcPr>
          <w:p>
            <w:r>
              <w:rPr>
                <w:rFonts w:ascii="Times New Roman" w:hAnsi="Times New Roman"/>
                <w:sz w:val="21"/>
              </w:rPr>
              <w:t>Amaliy topshiriqlarni to‘liq va mantiqiy bajarish</w:t>
            </w:r>
          </w:p>
        </w:tc>
        <w:tc>
          <w:tcPr>
            <w:tcW w:type="dxa" w:w="4844"/>
            <w:vAlign w:val="center"/>
          </w:tcPr>
          <w:p>
            <w:r>
              <w:rPr>
                <w:rFonts w:ascii="Times New Roman" w:hAnsi="Times New Roman"/>
                <w:sz w:val="21"/>
              </w:rPr>
              <w:t>35</w:t>
            </w:r>
          </w:p>
        </w:tc>
      </w:tr>
      <w:tr>
        <w:tc>
          <w:tcPr>
            <w:tcW w:type="dxa" w:w="4844"/>
            <w:vAlign w:val="center"/>
          </w:tcPr>
          <w:p>
            <w:r>
              <w:rPr>
                <w:rFonts w:ascii="Times New Roman" w:hAnsi="Times New Roman"/>
                <w:sz w:val="21"/>
              </w:rPr>
              <w:t>Hisob-kitob / jadval / boshqaruv hujjati sifati</w:t>
            </w:r>
          </w:p>
        </w:tc>
        <w:tc>
          <w:tcPr>
            <w:tcW w:type="dxa" w:w="4844"/>
            <w:vAlign w:val="center"/>
          </w:tcPr>
          <w:p>
            <w:r>
              <w:rPr>
                <w:rFonts w:ascii="Times New Roman" w:hAnsi="Times New Roman"/>
                <w:sz w:val="21"/>
              </w:rPr>
              <w:t>20</w:t>
            </w:r>
          </w:p>
        </w:tc>
      </w:tr>
      <w:tr>
        <w:tc>
          <w:tcPr>
            <w:tcW w:type="dxa" w:w="4844"/>
            <w:vAlign w:val="center"/>
          </w:tcPr>
          <w:p>
            <w:r>
              <w:rPr>
                <w:rFonts w:ascii="Times New Roman" w:hAnsi="Times New Roman"/>
                <w:sz w:val="21"/>
              </w:rPr>
              <w:t>Vaziyatli masalada qarorni asoslash</w:t>
            </w:r>
          </w:p>
        </w:tc>
        <w:tc>
          <w:tcPr>
            <w:tcW w:type="dxa" w:w="4844"/>
            <w:vAlign w:val="center"/>
          </w:tcPr>
          <w:p>
            <w:r>
              <w:rPr>
                <w:rFonts w:ascii="Times New Roman" w:hAnsi="Times New Roman"/>
                <w:sz w:val="21"/>
              </w:rPr>
              <w:t>15</w:t>
            </w:r>
          </w:p>
        </w:tc>
      </w:tr>
      <w:tr>
        <w:tc>
          <w:tcPr>
            <w:tcW w:type="dxa" w:w="4844"/>
            <w:vAlign w:val="center"/>
          </w:tcPr>
          <w:p>
            <w:r>
              <w:rPr>
                <w:rFonts w:ascii="Times New Roman" w:hAnsi="Times New Roman"/>
                <w:sz w:val="21"/>
              </w:rPr>
              <w:t>Taqdimot va guruhdagi ishtirok</w:t>
            </w:r>
          </w:p>
        </w:tc>
        <w:tc>
          <w:tcPr>
            <w:tcW w:type="dxa" w:w="4844"/>
            <w:vAlign w:val="center"/>
          </w:tcPr>
          <w:p>
            <w:r>
              <w:rPr>
                <w:rFonts w:ascii="Times New Roman" w:hAnsi="Times New Roman"/>
                <w:sz w:val="21"/>
              </w:rPr>
              <w:t>10</w:t>
            </w:r>
          </w:p>
        </w:tc>
      </w:tr>
      <w:tr>
        <w:tc>
          <w:tcPr>
            <w:tcW w:type="dxa" w:w="4844"/>
            <w:vAlign w:val="center"/>
          </w:tcPr>
          <w:p>
            <w:r>
              <w:rPr>
                <w:rFonts w:ascii="Times New Roman" w:hAnsi="Times New Roman"/>
                <w:sz w:val="21"/>
              </w:rPr>
              <w:t>Jami</w:t>
            </w:r>
          </w:p>
        </w:tc>
        <w:tc>
          <w:tcPr>
            <w:tcW w:type="dxa" w:w="4844"/>
            <w:vAlign w:val="center"/>
          </w:tcPr>
          <w:p>
            <w:r>
              <w:rPr>
                <w:rFonts w:ascii="Times New Roman" w:hAnsi="Times New Roman"/>
                <w:sz w:val="21"/>
              </w:rPr>
              <w:t>100</w:t>
            </w:r>
          </w:p>
        </w:tc>
      </w:tr>
    </w:tbl>
    <w:p/>
    <w:p>
      <w:pPr>
        <w:spacing w:before="120" w:after="60"/>
      </w:pPr>
      <w:r>
        <w:rPr>
          <w:rFonts w:ascii="Times New Roman" w:hAnsi="Times New Roman"/>
          <w:b/>
          <w:sz w:val="26"/>
        </w:rPr>
        <w:t>10. Mustaqil ish</w:t>
      </w:r>
    </w:p>
    <w:p>
      <w:pPr>
        <w:spacing w:line="276" w:lineRule="auto" w:after="60"/>
        <w:ind w:firstLine="709"/>
      </w:pPr>
      <w:r>
        <w:rPr>
          <w:rFonts w:ascii="Times New Roman" w:hAnsi="Times New Roman"/>
          <w:sz w:val="24"/>
        </w:rPr>
        <w:t>Tashkiliy tuzilmalar va loyiha muhiti bo‘yicha real yoki shartli bir loyiha tanlang. Mashg‘ulotda o‘rganilgan vositalardan kamida 2 tasini qo‘llab, 1–2 betlik amaliy tahlil tayyorlang.</w:t>
      </w:r>
    </w:p>
    <w:p>
      <w:pPr>
        <w:spacing w:before="120" w:after="60"/>
      </w:pPr>
      <w:r>
        <w:rPr>
          <w:rFonts w:ascii="Times New Roman" w:hAnsi="Times New Roman"/>
          <w:b/>
          <w:sz w:val="26"/>
        </w:rPr>
        <w:t>Asosiy manba</w:t>
      </w:r>
    </w:p>
    <w:p>
      <w:pPr>
        <w:spacing w:line="276" w:lineRule="auto" w:after="60"/>
        <w:ind w:firstLine="709"/>
      </w:pPr>
      <w:r>
        <w:rPr>
          <w:rFonts w:ascii="Times New Roman" w:hAnsi="Times New Roman"/>
          <w:sz w:val="24"/>
        </w:rPr>
        <w:t>Najmiddinov D.R. Loyihalarni boshqarish. Darslik. – Jizzax, 2026. – 236 b.</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Loyihalarni boshqarish fanidan amaliy mashg‘ulot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