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AMALIY MASHG‘ULOT №12</w:t>
      </w:r>
    </w:p>
    <w:p>
      <w:pPr>
        <w:jc w:val="center"/>
      </w:pPr>
      <w:r>
        <w:rPr>
          <w:rFonts w:ascii="Times New Roman" w:hAnsi="Times New Roman"/>
          <w:b/>
          <w:sz w:val="30"/>
        </w:rPr>
        <w:t>LOYIHA MANFAATDOR TOMONLARINI BOSHQARISH</w:t>
      </w:r>
    </w:p>
    <w:p>
      <w:pPr>
        <w:jc w:val="center"/>
      </w:pPr>
      <w:r>
        <w:rPr>
          <w:rFonts w:ascii="Times New Roman" w:hAnsi="Times New Roman"/>
          <w:i/>
          <w:sz w:val="22"/>
        </w:rPr>
        <w:t>Darslikdagi 12-BOB mavzusi asosida</w:t>
      </w:r>
    </w:p>
    <w:p>
      <w:pPr>
        <w:spacing w:before="120" w:after="60"/>
      </w:pPr>
      <w:r>
        <w:rPr>
          <w:rFonts w:ascii="Times New Roman" w:hAnsi="Times New Roman"/>
          <w:b/>
          <w:sz w:val="26"/>
        </w:rPr>
        <w:t>1. Mashg‘ulot maqsadi</w:t>
      </w:r>
    </w:p>
    <w:p>
      <w:pPr>
        <w:spacing w:line="276" w:lineRule="auto" w:after="60"/>
        <w:ind w:firstLine="709"/>
      </w:pPr>
      <w:r>
        <w:rPr>
          <w:rFonts w:ascii="Times New Roman" w:hAnsi="Times New Roman"/>
          <w:sz w:val="24"/>
        </w:rPr>
        <w:t>Manfaatdor tomonlarni aniqlash, tahlil qilish, jalb etish darajasini rejalashtirish, kutishlarni boshqarish va loyiha ta’sirini muvofiqlashtirish.</w:t>
      </w:r>
    </w:p>
    <w:p>
      <w:pPr>
        <w:spacing w:before="120" w:after="60"/>
      </w:pPr>
      <w:r>
        <w:rPr>
          <w:rFonts w:ascii="Times New Roman" w:hAnsi="Times New Roman"/>
          <w:b/>
          <w:sz w:val="26"/>
        </w:rPr>
        <w:t>2. Kutiladigan o‘quv natijalari</w:t>
      </w:r>
    </w:p>
    <w:p>
      <w:pPr>
        <w:pStyle w:val="ListBullet"/>
        <w:ind w:left="397"/>
      </w:pPr>
      <w:r>
        <w:rPr>
          <w:rFonts w:ascii="Times New Roman" w:hAnsi="Times New Roman"/>
          <w:sz w:val="24"/>
        </w:rPr>
        <w:t>loyihaning ichki va tashqi manfaatdor tomonlarini aniqlaydi;</w:t>
      </w:r>
    </w:p>
    <w:p>
      <w:pPr>
        <w:pStyle w:val="ListBullet"/>
        <w:ind w:left="397"/>
      </w:pPr>
      <w:r>
        <w:rPr>
          <w:rFonts w:ascii="Times New Roman" w:hAnsi="Times New Roman"/>
          <w:sz w:val="24"/>
        </w:rPr>
        <w:t>power–interest matritsasida ularni joylashtiradi;</w:t>
      </w:r>
    </w:p>
    <w:p>
      <w:pPr>
        <w:pStyle w:val="ListBullet"/>
        <w:ind w:left="397"/>
      </w:pPr>
      <w:r>
        <w:rPr>
          <w:rFonts w:ascii="Times New Roman" w:hAnsi="Times New Roman"/>
          <w:sz w:val="24"/>
        </w:rPr>
        <w:t>manfaatdor tomonlar reyestrini tuzadi;</w:t>
      </w:r>
    </w:p>
    <w:p>
      <w:pPr>
        <w:pStyle w:val="ListBullet"/>
        <w:ind w:left="397"/>
      </w:pPr>
      <w:r>
        <w:rPr>
          <w:rFonts w:ascii="Times New Roman" w:hAnsi="Times New Roman"/>
          <w:sz w:val="24"/>
        </w:rPr>
        <w:t>joriy va maqsadli jalb etish darajasini baholaydi;</w:t>
      </w:r>
    </w:p>
    <w:p>
      <w:pPr>
        <w:pStyle w:val="ListBullet"/>
        <w:ind w:left="397"/>
      </w:pPr>
      <w:r>
        <w:rPr>
          <w:rFonts w:ascii="Times New Roman" w:hAnsi="Times New Roman"/>
          <w:sz w:val="24"/>
        </w:rPr>
        <w:t>qarshilik va kutishlarni boshqarish strategiyasini ishlab chiqadi.</w:t>
      </w:r>
    </w:p>
    <w:p>
      <w:pPr>
        <w:spacing w:before="120" w:after="60"/>
      </w:pPr>
      <w:r>
        <w:rPr>
          <w:rFonts w:ascii="Times New Roman" w:hAnsi="Times New Roman"/>
          <w:b/>
          <w:sz w:val="26"/>
        </w:rPr>
        <w:t>3. Tayanch tushunchalar</w:t>
      </w:r>
    </w:p>
    <w:p>
      <w:pPr>
        <w:spacing w:line="276" w:lineRule="auto" w:after="60"/>
        <w:ind w:firstLine="709"/>
      </w:pPr>
      <w:r>
        <w:rPr>
          <w:rFonts w:ascii="Times New Roman" w:hAnsi="Times New Roman"/>
          <w:sz w:val="24"/>
        </w:rPr>
        <w:t>manfaatdor tomon, stakeholder register, power–interest, jalb etish, kutish, ta’sir, qarshilik, kommunikatsiya</w:t>
      </w:r>
    </w:p>
    <w:p>
      <w:pPr>
        <w:spacing w:before="120" w:after="60"/>
      </w:pPr>
      <w:r>
        <w:rPr>
          <w:rFonts w:ascii="Times New Roman" w:hAnsi="Times New Roman"/>
          <w:b/>
          <w:sz w:val="26"/>
        </w:rPr>
        <w:t>4. Mashg‘ulotni tashkil etish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vAlign w:val="center"/>
          </w:tcPr>
          <w:p>
            <w:pPr>
              <w:jc w:val="center"/>
            </w:pPr>
            <w:r>
              <w:rPr>
                <w:rFonts w:ascii="Times New Roman" w:hAnsi="Times New Roman"/>
                <w:b/>
                <w:sz w:val="21"/>
              </w:rPr>
              <w:t>Bosqich</w:t>
            </w:r>
          </w:p>
        </w:tc>
        <w:tc>
          <w:tcPr>
            <w:tcW w:type="dxa" w:w="3230"/>
            <w:shd w:fill="D9EAF7"/>
            <w:vAlign w:val="center"/>
          </w:tcPr>
          <w:p>
            <w:pPr>
              <w:jc w:val="center"/>
            </w:pPr>
            <w:r>
              <w:rPr>
                <w:rFonts w:ascii="Times New Roman" w:hAnsi="Times New Roman"/>
                <w:b/>
                <w:sz w:val="21"/>
              </w:rPr>
              <w:t>Vaqt</w:t>
            </w:r>
          </w:p>
        </w:tc>
        <w:tc>
          <w:tcPr>
            <w:tcW w:type="dxa" w:w="3230"/>
            <w:shd w:fill="D9EAF7"/>
            <w:vAlign w:val="center"/>
          </w:tcPr>
          <w:p>
            <w:pPr>
              <w:jc w:val="center"/>
            </w:pPr>
            <w:r>
              <w:rPr>
                <w:rFonts w:ascii="Times New Roman" w:hAnsi="Times New Roman"/>
                <w:b/>
                <w:sz w:val="21"/>
              </w:rPr>
              <w:t>Faoliyat</w:t>
            </w:r>
          </w:p>
        </w:tc>
      </w:tr>
      <w:tr>
        <w:tc>
          <w:tcPr>
            <w:tcW w:type="dxa" w:w="3230"/>
            <w:vAlign w:val="center"/>
          </w:tcPr>
          <w:p>
            <w:r>
              <w:rPr>
                <w:rFonts w:ascii="Times New Roman" w:hAnsi="Times New Roman"/>
                <w:sz w:val="21"/>
              </w:rPr>
              <w:t>Kirish va vazifalarni tushuntirish</w:t>
            </w:r>
          </w:p>
        </w:tc>
        <w:tc>
          <w:tcPr>
            <w:tcW w:type="dxa" w:w="3230"/>
            <w:vAlign w:val="center"/>
          </w:tcPr>
          <w:p>
            <w:r>
              <w:rPr>
                <w:rFonts w:ascii="Times New Roman" w:hAnsi="Times New Roman"/>
                <w:sz w:val="21"/>
              </w:rPr>
              <w:t>10 daqiqa</w:t>
            </w:r>
          </w:p>
        </w:tc>
        <w:tc>
          <w:tcPr>
            <w:tcW w:type="dxa" w:w="3230"/>
            <w:vAlign w:val="center"/>
          </w:tcPr>
          <w:p>
            <w:r>
              <w:rPr>
                <w:rFonts w:ascii="Times New Roman" w:hAnsi="Times New Roman"/>
                <w:sz w:val="21"/>
              </w:rPr>
              <w:t>Savol-javob, qisqa muammoli vaziyat</w:t>
            </w:r>
          </w:p>
        </w:tc>
      </w:tr>
      <w:tr>
        <w:tc>
          <w:tcPr>
            <w:tcW w:type="dxa" w:w="3230"/>
            <w:vAlign w:val="center"/>
          </w:tcPr>
          <w:p>
            <w:r>
              <w:rPr>
                <w:rFonts w:ascii="Times New Roman" w:hAnsi="Times New Roman"/>
                <w:sz w:val="21"/>
              </w:rPr>
              <w:t>Asosiy amaliy topshiriqlar</w:t>
            </w:r>
          </w:p>
        </w:tc>
        <w:tc>
          <w:tcPr>
            <w:tcW w:type="dxa" w:w="3230"/>
            <w:vAlign w:val="center"/>
          </w:tcPr>
          <w:p>
            <w:r>
              <w:rPr>
                <w:rFonts w:ascii="Times New Roman" w:hAnsi="Times New Roman"/>
                <w:sz w:val="21"/>
              </w:rPr>
              <w:t>45 daqiqa</w:t>
            </w:r>
          </w:p>
        </w:tc>
        <w:tc>
          <w:tcPr>
            <w:tcW w:type="dxa" w:w="3230"/>
            <w:vAlign w:val="center"/>
          </w:tcPr>
          <w:p>
            <w:r>
              <w:rPr>
                <w:rFonts w:ascii="Times New Roman" w:hAnsi="Times New Roman"/>
                <w:sz w:val="21"/>
              </w:rPr>
              <w:t>Individual va kichik guruhlar</w:t>
            </w:r>
          </w:p>
        </w:tc>
      </w:tr>
      <w:tr>
        <w:tc>
          <w:tcPr>
            <w:tcW w:type="dxa" w:w="3230"/>
            <w:vAlign w:val="center"/>
          </w:tcPr>
          <w:p>
            <w:r>
              <w:rPr>
                <w:rFonts w:ascii="Times New Roman" w:hAnsi="Times New Roman"/>
                <w:sz w:val="21"/>
              </w:rPr>
              <w:t>Vaziyatli masala</w:t>
            </w:r>
          </w:p>
        </w:tc>
        <w:tc>
          <w:tcPr>
            <w:tcW w:type="dxa" w:w="3230"/>
            <w:vAlign w:val="center"/>
          </w:tcPr>
          <w:p>
            <w:r>
              <w:rPr>
                <w:rFonts w:ascii="Times New Roman" w:hAnsi="Times New Roman"/>
                <w:sz w:val="21"/>
              </w:rPr>
              <w:t>15 daqiqa</w:t>
            </w:r>
          </w:p>
        </w:tc>
        <w:tc>
          <w:tcPr>
            <w:tcW w:type="dxa" w:w="3230"/>
            <w:vAlign w:val="center"/>
          </w:tcPr>
          <w:p>
            <w:r>
              <w:rPr>
                <w:rFonts w:ascii="Times New Roman" w:hAnsi="Times New Roman"/>
                <w:sz w:val="21"/>
              </w:rPr>
              <w:t>Guruhli tahlil va qaror qabul qilish</w:t>
            </w:r>
          </w:p>
        </w:tc>
      </w:tr>
      <w:tr>
        <w:tc>
          <w:tcPr>
            <w:tcW w:type="dxa" w:w="3230"/>
            <w:vAlign w:val="center"/>
          </w:tcPr>
          <w:p>
            <w:r>
              <w:rPr>
                <w:rFonts w:ascii="Times New Roman" w:hAnsi="Times New Roman"/>
                <w:sz w:val="21"/>
              </w:rPr>
              <w:t>Taqdimot, tahlil va baholash</w:t>
            </w:r>
          </w:p>
        </w:tc>
        <w:tc>
          <w:tcPr>
            <w:tcW w:type="dxa" w:w="3230"/>
            <w:vAlign w:val="center"/>
          </w:tcPr>
          <w:p>
            <w:r>
              <w:rPr>
                <w:rFonts w:ascii="Times New Roman" w:hAnsi="Times New Roman"/>
                <w:sz w:val="21"/>
              </w:rPr>
              <w:t>10 daqiqa</w:t>
            </w:r>
          </w:p>
        </w:tc>
        <w:tc>
          <w:tcPr>
            <w:tcW w:type="dxa" w:w="3230"/>
            <w:vAlign w:val="center"/>
          </w:tcPr>
          <w:p>
            <w:r>
              <w:rPr>
                <w:rFonts w:ascii="Times New Roman" w:hAnsi="Times New Roman"/>
                <w:sz w:val="21"/>
              </w:rPr>
              <w:t>Qisqa himoya va feedback</w:t>
            </w:r>
          </w:p>
        </w:tc>
      </w:tr>
    </w:tbl>
    <w:p/>
    <w:p>
      <w:pPr>
        <w:spacing w:before="120" w:after="60"/>
      </w:pPr>
      <w:r>
        <w:rPr>
          <w:rFonts w:ascii="Times New Roman" w:hAnsi="Times New Roman"/>
          <w:b/>
          <w:sz w:val="26"/>
        </w:rPr>
        <w:t>5. Amaliy topshiriqlar</w:t>
      </w:r>
    </w:p>
    <w:p>
      <w:pPr>
        <w:spacing w:before="120" w:after="60"/>
      </w:pPr>
      <w:r>
        <w:rPr>
          <w:rFonts w:ascii="Times New Roman" w:hAnsi="Times New Roman"/>
          <w:b/>
          <w:sz w:val="24"/>
        </w:rPr>
        <w:t>1-topshiriq. Manfaatdor tomonlar xaritasi</w:t>
      </w:r>
    </w:p>
    <w:p>
      <w:pPr>
        <w:spacing w:line="276" w:lineRule="auto" w:after="60"/>
        <w:ind w:firstLine="709"/>
      </w:pPr>
      <w:r>
        <w:rPr>
          <w:rFonts w:ascii="Times New Roman" w:hAnsi="Times New Roman"/>
          <w:sz w:val="24"/>
        </w:rPr>
        <w:t>“Yangi ekoturizm hududini rivojlantirish” loyihasi uchun kamida 12 ta manfaatdor tomonni aniqlang va ichki/tashqi hamda birlamchi/ikkilamchi guruhlarga ajrating.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4"/>
        </w:rPr>
        <w:t>2-topshiriq. Power–interest matritsasi</w:t>
      </w:r>
    </w:p>
    <w:p>
      <w:pPr>
        <w:spacing w:line="276" w:lineRule="auto" w:after="60"/>
        <w:ind w:firstLine="709"/>
      </w:pPr>
      <w:r>
        <w:rPr>
          <w:rFonts w:ascii="Times New Roman" w:hAnsi="Times New Roman"/>
          <w:sz w:val="24"/>
        </w:rPr>
        <w:t>Aniqlangan tomonlarni “yuqori kuch–yuqori qiziqish”, “yuqori kuch–past qiziqish”, “past kuch–yuqori qiziqish”, “past kuch–past qiziqish” kvadrantlariga joylashtiring. Har kvadrant uchun boshqaruv strategiyasini yozing.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4"/>
        </w:rPr>
        <w:t>3-topshiriq. Manfaatdor tomonlar reyestri</w:t>
      </w:r>
    </w:p>
    <w:p>
      <w:pPr>
        <w:spacing w:line="276" w:lineRule="auto" w:after="60"/>
        <w:ind w:firstLine="709"/>
      </w:pPr>
      <w:r>
        <w:rPr>
          <w:rFonts w:ascii="Times New Roman" w:hAnsi="Times New Roman"/>
          <w:sz w:val="24"/>
        </w:rPr>
        <w:t>Har bir tomon uchun manfaat, ta’sir, kutish, xavotir, joriy munosabat, aloqa kanali, mas’ul va jalb etish strategiyasini ko‘rsating.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4"/>
        </w:rPr>
        <w:t>4-topshiriq. Jalb etish bahosi</w:t>
      </w:r>
    </w:p>
    <w:p>
      <w:pPr>
        <w:spacing w:line="276" w:lineRule="auto" w:after="60"/>
        <w:ind w:firstLine="709"/>
      </w:pPr>
      <w:r>
        <w:rPr>
          <w:rFonts w:ascii="Times New Roman" w:hAnsi="Times New Roman"/>
          <w:sz w:val="24"/>
        </w:rPr>
        <w:t>5 ta asosiy manfaatdor tomon uchun joriy va maqsadli holatni belgilang: bexabar, qarshilik qiluvchi, neytral, qo‘llab-quvvatlovchi, yetakchi. Farqni yopish uchun amaliy chora yozing.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4"/>
        </w:rPr>
        <w:t>5-topshiriq. Kutishlarni boshqarish</w:t>
      </w:r>
    </w:p>
    <w:p>
      <w:pPr>
        <w:spacing w:line="276" w:lineRule="auto" w:after="60"/>
        <w:ind w:firstLine="709"/>
      </w:pPr>
      <w:r>
        <w:rPr>
          <w:rFonts w:ascii="Times New Roman" w:hAnsi="Times New Roman"/>
          <w:sz w:val="24"/>
        </w:rPr>
        <w:t>Mahalliy aholi loyiha natijasida shovqin va ekologik yuklama oshishidan xavotirda. Investor esa tezroq daromad olishni kutmoqda. Ikki tomon kutishlarini muvofiqlashtirish uchun 6 bandli kelishuv va kommunikatsiya rejasi tuzing.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6"/>
        </w:rPr>
        <w:t>6. Vaziyatli masala</w:t>
      </w:r>
    </w:p>
    <w:p>
      <w:pPr>
        <w:spacing w:line="276" w:lineRule="auto" w:after="60"/>
        <w:ind w:firstLine="709"/>
      </w:pPr>
      <w:r>
        <w:rPr>
          <w:rFonts w:ascii="Times New Roman" w:hAnsi="Times New Roman"/>
          <w:sz w:val="24"/>
        </w:rPr>
        <w:t>Yangi turistik majmua loyihasini investor, hokimlik, mahalliy aholi, ekologik tashkilot, quruvchi va turistlar turlicha baholamoqda. Manfaatdor tomonlarni tahlil qiling, eng yuqori boshqaruv e’tiborini talab qiluvchi guruhlarni aniqlang va jalb etish strategiyasini ishlab chiqing.</w:t>
      </w:r>
    </w:p>
    <w:p>
      <w:pPr>
        <w:spacing w:line="276" w:lineRule="auto" w:after="60"/>
        <w:ind w:firstLine="709"/>
      </w:pPr>
      <w:r>
        <w:rPr>
          <w:rFonts w:ascii="Times New Roman" w:hAnsi="Times New Roman"/>
          <w:sz w:val="24"/>
        </w:rPr>
        <w:t>Talab: muammoni aniqlang, kamida 3 ta yechim variantini ishlab chiqing, variantlarni mezonlar asosida solishtiring va tanlangan qarorni asoslang.</w:t>
      </w:r>
    </w:p>
    <w:p>
      <w:pPr>
        <w:spacing w:before="120" w:after="60"/>
      </w:pPr>
      <w:r>
        <w:rPr>
          <w:rFonts w:ascii="Times New Roman" w:hAnsi="Times New Roman"/>
          <w:b/>
          <w:sz w:val="26"/>
        </w:rPr>
        <w:t>7. Natijani rasmiylashtirish uchun ishchi jadval</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rPr>
          <w:tblHeader w:val="true"/>
        </w:trPr>
        <w:tc>
          <w:tcPr>
            <w:tcW w:type="dxa" w:w="1615"/>
            <w:shd w:fill="D9EAF7"/>
            <w:vAlign w:val="center"/>
          </w:tcPr>
          <w:p>
            <w:pPr>
              <w:jc w:val="center"/>
            </w:pPr>
            <w:r>
              <w:rPr>
                <w:rFonts w:ascii="Times New Roman" w:hAnsi="Times New Roman"/>
                <w:b/>
                <w:sz w:val="21"/>
              </w:rPr>
              <w:t>Manfaatdor tomon</w:t>
            </w:r>
          </w:p>
        </w:tc>
        <w:tc>
          <w:tcPr>
            <w:tcW w:type="dxa" w:w="1615"/>
            <w:shd w:fill="D9EAF7"/>
            <w:vAlign w:val="center"/>
          </w:tcPr>
          <w:p>
            <w:pPr>
              <w:jc w:val="center"/>
            </w:pPr>
            <w:r>
              <w:rPr>
                <w:rFonts w:ascii="Times New Roman" w:hAnsi="Times New Roman"/>
                <w:b/>
                <w:sz w:val="21"/>
              </w:rPr>
              <w:t>Kuch</w:t>
            </w:r>
          </w:p>
        </w:tc>
        <w:tc>
          <w:tcPr>
            <w:tcW w:type="dxa" w:w="1615"/>
            <w:shd w:fill="D9EAF7"/>
            <w:vAlign w:val="center"/>
          </w:tcPr>
          <w:p>
            <w:pPr>
              <w:jc w:val="center"/>
            </w:pPr>
            <w:r>
              <w:rPr>
                <w:rFonts w:ascii="Times New Roman" w:hAnsi="Times New Roman"/>
                <w:b/>
                <w:sz w:val="21"/>
              </w:rPr>
              <w:t>Qiziqish</w:t>
            </w:r>
          </w:p>
        </w:tc>
        <w:tc>
          <w:tcPr>
            <w:tcW w:type="dxa" w:w="1615"/>
            <w:shd w:fill="D9EAF7"/>
            <w:vAlign w:val="center"/>
          </w:tcPr>
          <w:p>
            <w:pPr>
              <w:jc w:val="center"/>
            </w:pPr>
            <w:r>
              <w:rPr>
                <w:rFonts w:ascii="Times New Roman" w:hAnsi="Times New Roman"/>
                <w:b/>
                <w:sz w:val="21"/>
              </w:rPr>
              <w:t>Joriy holat</w:t>
            </w:r>
          </w:p>
        </w:tc>
        <w:tc>
          <w:tcPr>
            <w:tcW w:type="dxa" w:w="1615"/>
            <w:shd w:fill="D9EAF7"/>
            <w:vAlign w:val="center"/>
          </w:tcPr>
          <w:p>
            <w:pPr>
              <w:jc w:val="center"/>
            </w:pPr>
            <w:r>
              <w:rPr>
                <w:rFonts w:ascii="Times New Roman" w:hAnsi="Times New Roman"/>
                <w:b/>
                <w:sz w:val="21"/>
              </w:rPr>
              <w:t>Maqsadli holat</w:t>
            </w:r>
          </w:p>
        </w:tc>
        <w:tc>
          <w:tcPr>
            <w:tcW w:type="dxa" w:w="1615"/>
            <w:shd w:fill="D9EAF7"/>
            <w:vAlign w:val="center"/>
          </w:tcPr>
          <w:p>
            <w:pPr>
              <w:jc w:val="center"/>
            </w:pPr>
            <w:r>
              <w:rPr>
                <w:rFonts w:ascii="Times New Roman" w:hAnsi="Times New Roman"/>
                <w:b/>
                <w:sz w:val="21"/>
              </w:rPr>
              <w:t>Strategiya</w:t>
            </w:r>
          </w:p>
        </w:tc>
      </w:tr>
      <w:tr>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r>
      <w:tr>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r>
      <w:tr>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r>
      <w:tr>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r>
      <w:tr>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r>
      <w:tr>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r>
      <w:tr>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c>
          <w:tcPr>
            <w:tcW w:type="dxa" w:w="1615"/>
            <w:vAlign w:val="center"/>
          </w:tcPr>
          <w:p>
            <w:r>
              <w:rPr>
                <w:rFonts w:ascii="Times New Roman" w:hAnsi="Times New Roman"/>
                <w:sz w:val="21"/>
              </w:rPr>
            </w:r>
          </w:p>
        </w:tc>
      </w:tr>
    </w:tbl>
    <w:p/>
    <w:p>
      <w:pPr>
        <w:spacing w:before="120" w:after="60"/>
      </w:pPr>
      <w:r>
        <w:rPr>
          <w:rFonts w:ascii="Times New Roman" w:hAnsi="Times New Roman"/>
          <w:b/>
          <w:sz w:val="26"/>
        </w:rPr>
        <w:t>8. Nazorat savollari</w:t>
      </w:r>
    </w:p>
    <w:p>
      <w:pPr>
        <w:pStyle w:val="ListBullet"/>
        <w:ind w:left="397"/>
      </w:pPr>
      <w:r>
        <w:rPr>
          <w:rFonts w:ascii="Times New Roman" w:hAnsi="Times New Roman"/>
          <w:sz w:val="24"/>
        </w:rPr>
        <w:t>Manfaatdor tomon kim?</w:t>
      </w:r>
    </w:p>
    <w:p>
      <w:pPr>
        <w:pStyle w:val="ListBullet"/>
        <w:ind w:left="397"/>
      </w:pPr>
      <w:r>
        <w:rPr>
          <w:rFonts w:ascii="Times New Roman" w:hAnsi="Times New Roman"/>
          <w:sz w:val="24"/>
        </w:rPr>
        <w:t>Power–interest matritsasi nima uchun ishlatiladi?</w:t>
      </w:r>
    </w:p>
    <w:p>
      <w:pPr>
        <w:pStyle w:val="ListBullet"/>
        <w:ind w:left="397"/>
      </w:pPr>
      <w:r>
        <w:rPr>
          <w:rFonts w:ascii="Times New Roman" w:hAnsi="Times New Roman"/>
          <w:sz w:val="24"/>
        </w:rPr>
        <w:t>Jalb etish darajalari qanday?</w:t>
      </w:r>
    </w:p>
    <w:p>
      <w:pPr>
        <w:pStyle w:val="ListBullet"/>
        <w:ind w:left="397"/>
      </w:pPr>
      <w:r>
        <w:rPr>
          <w:rFonts w:ascii="Times New Roman" w:hAnsi="Times New Roman"/>
          <w:sz w:val="24"/>
        </w:rPr>
        <w:t>Kutishlarni boshqarish nima uchun muhim?</w:t>
      </w:r>
    </w:p>
    <w:p>
      <w:pPr>
        <w:pStyle w:val="ListBullet"/>
        <w:ind w:left="397"/>
      </w:pPr>
      <w:r>
        <w:rPr>
          <w:rFonts w:ascii="Times New Roman" w:hAnsi="Times New Roman"/>
          <w:sz w:val="24"/>
        </w:rPr>
        <w:t>Qarshilik qiluvchi manfaatdor tomon bilan qanday ishlash kerak?</w:t>
      </w:r>
    </w:p>
    <w:p>
      <w:pPr>
        <w:spacing w:before="120" w:after="60"/>
      </w:pPr>
      <w:r>
        <w:rPr>
          <w:rFonts w:ascii="Times New Roman" w:hAnsi="Times New Roman"/>
          <w:b/>
          <w:sz w:val="26"/>
        </w:rPr>
        <w:t>9. Baholash mezoni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vAlign w:val="center"/>
          </w:tcPr>
          <w:p>
            <w:pPr>
              <w:jc w:val="center"/>
            </w:pPr>
            <w:r>
              <w:rPr>
                <w:rFonts w:ascii="Times New Roman" w:hAnsi="Times New Roman"/>
                <w:b/>
                <w:sz w:val="21"/>
              </w:rPr>
              <w:t>Mezon</w:t>
            </w:r>
          </w:p>
        </w:tc>
        <w:tc>
          <w:tcPr>
            <w:tcW w:type="dxa" w:w="4844"/>
            <w:shd w:fill="D9EAF7"/>
            <w:vAlign w:val="center"/>
          </w:tcPr>
          <w:p>
            <w:pPr>
              <w:jc w:val="center"/>
            </w:pPr>
            <w:r>
              <w:rPr>
                <w:rFonts w:ascii="Times New Roman" w:hAnsi="Times New Roman"/>
                <w:b/>
                <w:sz w:val="21"/>
              </w:rPr>
              <w:t>Ball</w:t>
            </w:r>
          </w:p>
        </w:tc>
      </w:tr>
      <w:tr>
        <w:tc>
          <w:tcPr>
            <w:tcW w:type="dxa" w:w="4844"/>
            <w:vAlign w:val="center"/>
          </w:tcPr>
          <w:p>
            <w:r>
              <w:rPr>
                <w:rFonts w:ascii="Times New Roman" w:hAnsi="Times New Roman"/>
                <w:sz w:val="21"/>
              </w:rPr>
              <w:t>Nazariy tushunchalarni to‘g‘ri qo‘llash</w:t>
            </w:r>
          </w:p>
        </w:tc>
        <w:tc>
          <w:tcPr>
            <w:tcW w:type="dxa" w:w="4844"/>
            <w:vAlign w:val="center"/>
          </w:tcPr>
          <w:p>
            <w:r>
              <w:rPr>
                <w:rFonts w:ascii="Times New Roman" w:hAnsi="Times New Roman"/>
                <w:sz w:val="21"/>
              </w:rPr>
              <w:t>20</w:t>
            </w:r>
          </w:p>
        </w:tc>
      </w:tr>
      <w:tr>
        <w:tc>
          <w:tcPr>
            <w:tcW w:type="dxa" w:w="4844"/>
            <w:vAlign w:val="center"/>
          </w:tcPr>
          <w:p>
            <w:r>
              <w:rPr>
                <w:rFonts w:ascii="Times New Roman" w:hAnsi="Times New Roman"/>
                <w:sz w:val="21"/>
              </w:rPr>
              <w:t>Amaliy topshiriqlarni to‘liq va mantiqiy bajarish</w:t>
            </w:r>
          </w:p>
        </w:tc>
        <w:tc>
          <w:tcPr>
            <w:tcW w:type="dxa" w:w="4844"/>
            <w:vAlign w:val="center"/>
          </w:tcPr>
          <w:p>
            <w:r>
              <w:rPr>
                <w:rFonts w:ascii="Times New Roman" w:hAnsi="Times New Roman"/>
                <w:sz w:val="21"/>
              </w:rPr>
              <w:t>35</w:t>
            </w:r>
          </w:p>
        </w:tc>
      </w:tr>
      <w:tr>
        <w:tc>
          <w:tcPr>
            <w:tcW w:type="dxa" w:w="4844"/>
            <w:vAlign w:val="center"/>
          </w:tcPr>
          <w:p>
            <w:r>
              <w:rPr>
                <w:rFonts w:ascii="Times New Roman" w:hAnsi="Times New Roman"/>
                <w:sz w:val="21"/>
              </w:rPr>
              <w:t>Hisob-kitob / jadval / boshqaruv hujjati sifati</w:t>
            </w:r>
          </w:p>
        </w:tc>
        <w:tc>
          <w:tcPr>
            <w:tcW w:type="dxa" w:w="4844"/>
            <w:vAlign w:val="center"/>
          </w:tcPr>
          <w:p>
            <w:r>
              <w:rPr>
                <w:rFonts w:ascii="Times New Roman" w:hAnsi="Times New Roman"/>
                <w:sz w:val="21"/>
              </w:rPr>
              <w:t>20</w:t>
            </w:r>
          </w:p>
        </w:tc>
      </w:tr>
      <w:tr>
        <w:tc>
          <w:tcPr>
            <w:tcW w:type="dxa" w:w="4844"/>
            <w:vAlign w:val="center"/>
          </w:tcPr>
          <w:p>
            <w:r>
              <w:rPr>
                <w:rFonts w:ascii="Times New Roman" w:hAnsi="Times New Roman"/>
                <w:sz w:val="21"/>
              </w:rPr>
              <w:t>Vaziyatli masalada qarorni asoslash</w:t>
            </w:r>
          </w:p>
        </w:tc>
        <w:tc>
          <w:tcPr>
            <w:tcW w:type="dxa" w:w="4844"/>
            <w:vAlign w:val="center"/>
          </w:tcPr>
          <w:p>
            <w:r>
              <w:rPr>
                <w:rFonts w:ascii="Times New Roman" w:hAnsi="Times New Roman"/>
                <w:sz w:val="21"/>
              </w:rPr>
              <w:t>15</w:t>
            </w:r>
          </w:p>
        </w:tc>
      </w:tr>
      <w:tr>
        <w:tc>
          <w:tcPr>
            <w:tcW w:type="dxa" w:w="4844"/>
            <w:vAlign w:val="center"/>
          </w:tcPr>
          <w:p>
            <w:r>
              <w:rPr>
                <w:rFonts w:ascii="Times New Roman" w:hAnsi="Times New Roman"/>
                <w:sz w:val="21"/>
              </w:rPr>
              <w:t>Taqdimot va guruhdagi ishtirok</w:t>
            </w:r>
          </w:p>
        </w:tc>
        <w:tc>
          <w:tcPr>
            <w:tcW w:type="dxa" w:w="4844"/>
            <w:vAlign w:val="center"/>
          </w:tcPr>
          <w:p>
            <w:r>
              <w:rPr>
                <w:rFonts w:ascii="Times New Roman" w:hAnsi="Times New Roman"/>
                <w:sz w:val="21"/>
              </w:rPr>
              <w:t>10</w:t>
            </w:r>
          </w:p>
        </w:tc>
      </w:tr>
      <w:tr>
        <w:tc>
          <w:tcPr>
            <w:tcW w:type="dxa" w:w="4844"/>
            <w:vAlign w:val="center"/>
          </w:tcPr>
          <w:p>
            <w:r>
              <w:rPr>
                <w:rFonts w:ascii="Times New Roman" w:hAnsi="Times New Roman"/>
                <w:sz w:val="21"/>
              </w:rPr>
              <w:t>Jami</w:t>
            </w:r>
          </w:p>
        </w:tc>
        <w:tc>
          <w:tcPr>
            <w:tcW w:type="dxa" w:w="4844"/>
            <w:vAlign w:val="center"/>
          </w:tcPr>
          <w:p>
            <w:r>
              <w:rPr>
                <w:rFonts w:ascii="Times New Roman" w:hAnsi="Times New Roman"/>
                <w:sz w:val="21"/>
              </w:rPr>
              <w:t>100</w:t>
            </w:r>
          </w:p>
        </w:tc>
      </w:tr>
    </w:tbl>
    <w:p/>
    <w:p>
      <w:pPr>
        <w:spacing w:before="120" w:after="60"/>
      </w:pPr>
      <w:r>
        <w:rPr>
          <w:rFonts w:ascii="Times New Roman" w:hAnsi="Times New Roman"/>
          <w:b/>
          <w:sz w:val="26"/>
        </w:rPr>
        <w:t>10. Mustaqil ish</w:t>
      </w:r>
    </w:p>
    <w:p>
      <w:pPr>
        <w:spacing w:line="276" w:lineRule="auto" w:after="60"/>
        <w:ind w:firstLine="709"/>
      </w:pPr>
      <w:r>
        <w:rPr>
          <w:rFonts w:ascii="Times New Roman" w:hAnsi="Times New Roman"/>
          <w:sz w:val="24"/>
        </w:rPr>
        <w:t>Loyiha manfaatdor tomonlarini boshqarish bo‘yicha real yoki shartli bir loyiha tanlang. Mashg‘ulotda o‘rganilgan vositalardan kamida 2 tasini qo‘llab, 1–2 betlik amaliy tahlil tayyorlang.</w:t>
      </w:r>
    </w:p>
    <w:p>
      <w:pPr>
        <w:spacing w:before="120" w:after="60"/>
      </w:pPr>
      <w:r>
        <w:rPr>
          <w:rFonts w:ascii="Times New Roman" w:hAnsi="Times New Roman"/>
          <w:b/>
          <w:sz w:val="26"/>
        </w:rPr>
        <w:t>Asosiy manba</w:t>
      </w:r>
    </w:p>
    <w:p>
      <w:pPr>
        <w:spacing w:line="276" w:lineRule="auto" w:after="60"/>
        <w:ind w:firstLine="709"/>
      </w:pPr>
      <w:r>
        <w:rPr>
          <w:rFonts w:ascii="Times New Roman" w:hAnsi="Times New Roman"/>
          <w:sz w:val="24"/>
        </w:rPr>
        <w:t>Najmiddinov D.R. Loyihalarni boshqarish. Darslik. – Jizzax, 2026. – 236 b.</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Loyihalarni boshqarish fanidan amaliy mashg‘ulot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