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1F3" w:rsidRDefault="000971F3" w:rsidP="001A4803">
      <w:pPr>
        <w:rPr>
          <w:rFonts w:cstheme="minorHAnsi"/>
          <w:b/>
          <w:sz w:val="24"/>
          <w:u w:val="single"/>
        </w:rPr>
      </w:pPr>
      <w:r w:rsidRPr="000971F3">
        <w:rPr>
          <w:rFonts w:cstheme="minorHAnsi"/>
          <w:b/>
          <w:noProof/>
          <w:sz w:val="24"/>
        </w:rPr>
        <w:drawing>
          <wp:inline distT="0" distB="0" distL="0" distR="0">
            <wp:extent cx="695325" cy="708660"/>
            <wp:effectExtent l="19050" t="0" r="9525" b="0"/>
            <wp:docPr id="1" name="Picture 1" descr="C:\Users\SURAJ\Desktop\365px-International_Monet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J\Desktop\365px-International_Monetary.png"/>
                    <pic:cNvPicPr>
                      <a:picLocks noChangeAspect="1" noChangeArrowheads="1"/>
                    </pic:cNvPicPr>
                  </pic:nvPicPr>
                  <pic:blipFill>
                    <a:blip r:embed="rId5" cstate="print"/>
                    <a:srcRect/>
                    <a:stretch>
                      <a:fillRect/>
                    </a:stretch>
                  </pic:blipFill>
                  <pic:spPr bwMode="auto">
                    <a:xfrm>
                      <a:off x="0" y="0"/>
                      <a:ext cx="695325" cy="708660"/>
                    </a:xfrm>
                    <a:prstGeom prst="rect">
                      <a:avLst/>
                    </a:prstGeom>
                    <a:noFill/>
                    <a:ln w="9525">
                      <a:noFill/>
                      <a:miter lim="800000"/>
                      <a:headEnd/>
                      <a:tailEnd/>
                    </a:ln>
                  </pic:spPr>
                </pic:pic>
              </a:graphicData>
            </a:graphic>
          </wp:inline>
        </w:drawing>
      </w:r>
    </w:p>
    <w:p w:rsidR="001A4803" w:rsidRPr="00480146" w:rsidRDefault="001A4803" w:rsidP="001A4803">
      <w:pPr>
        <w:rPr>
          <w:rFonts w:cstheme="minorHAnsi"/>
          <w:b/>
          <w:color w:val="262626" w:themeColor="text1" w:themeTint="D9"/>
          <w:sz w:val="24"/>
          <w:u w:val="single"/>
        </w:rPr>
      </w:pPr>
      <w:r w:rsidRPr="00480146">
        <w:rPr>
          <w:rFonts w:cstheme="minorHAnsi"/>
          <w:b/>
          <w:color w:val="262626" w:themeColor="text1" w:themeTint="D9"/>
          <w:sz w:val="24"/>
          <w:u w:val="single"/>
        </w:rPr>
        <w:t>About the IMF</w:t>
      </w:r>
    </w:p>
    <w:p w:rsidR="001A4803" w:rsidRPr="00480146" w:rsidRDefault="001A4803" w:rsidP="001A4803">
      <w:pPr>
        <w:rPr>
          <w:rFonts w:cstheme="minorHAnsi"/>
          <w:color w:val="262626" w:themeColor="text1" w:themeTint="D9"/>
        </w:rPr>
      </w:pPr>
      <w:r w:rsidRPr="00480146">
        <w:rPr>
          <w:rFonts w:cstheme="minorHAnsi"/>
          <w:color w:val="262626" w:themeColor="text1" w:themeTint="D9"/>
        </w:rPr>
        <w:t xml:space="preserve">The International Monetary Fund (IMF) is an organization of 189 countries, working to foster global monetary cooperation, secure financial stability, facilitate international trade, promote high employment and sustainable economic growth, and reduce poverty around the world. </w:t>
      </w:r>
    </w:p>
    <w:p w:rsidR="001A4803" w:rsidRPr="00480146" w:rsidRDefault="001A4803" w:rsidP="001A4803">
      <w:pPr>
        <w:rPr>
          <w:rFonts w:cstheme="minorHAnsi"/>
          <w:color w:val="262626" w:themeColor="text1" w:themeTint="D9"/>
        </w:rPr>
      </w:pPr>
      <w:r w:rsidRPr="00480146">
        <w:rPr>
          <w:rFonts w:cstheme="minorHAnsi"/>
          <w:b/>
          <w:bCs/>
          <w:color w:val="262626" w:themeColor="text1" w:themeTint="D9"/>
        </w:rPr>
        <w:t>Membership:</w:t>
      </w:r>
      <w:r w:rsidRPr="00480146">
        <w:rPr>
          <w:rFonts w:cstheme="minorHAnsi"/>
          <w:color w:val="262626" w:themeColor="text1" w:themeTint="D9"/>
        </w:rPr>
        <w:t> </w:t>
      </w:r>
      <w:hyperlink r:id="rId6" w:history="1">
        <w:r w:rsidRPr="00480146">
          <w:rPr>
            <w:rFonts w:cstheme="minorHAnsi"/>
            <w:color w:val="262626" w:themeColor="text1" w:themeTint="D9"/>
          </w:rPr>
          <w:t>189 countries</w:t>
        </w:r>
      </w:hyperlink>
    </w:p>
    <w:p w:rsidR="001A4803" w:rsidRPr="00480146" w:rsidRDefault="001A4803" w:rsidP="001A4803">
      <w:pPr>
        <w:rPr>
          <w:rFonts w:cstheme="minorHAnsi"/>
          <w:color w:val="262626" w:themeColor="text1" w:themeTint="D9"/>
        </w:rPr>
      </w:pPr>
      <w:r w:rsidRPr="00480146">
        <w:rPr>
          <w:rFonts w:cstheme="minorHAnsi"/>
          <w:b/>
          <w:bCs/>
          <w:color w:val="262626" w:themeColor="text1" w:themeTint="D9"/>
        </w:rPr>
        <w:t>Headquarters:</w:t>
      </w:r>
      <w:r w:rsidRPr="00480146">
        <w:rPr>
          <w:rFonts w:cstheme="minorHAnsi"/>
          <w:color w:val="262626" w:themeColor="text1" w:themeTint="D9"/>
        </w:rPr>
        <w:t> Washington, D.C.</w:t>
      </w:r>
      <w:r w:rsidR="00EA1504">
        <w:rPr>
          <w:rFonts w:cstheme="minorHAnsi"/>
          <w:color w:val="262626" w:themeColor="text1" w:themeTint="D9"/>
        </w:rPr>
        <w:t>(Dec, 1945)</w:t>
      </w:r>
    </w:p>
    <w:p w:rsidR="001A4803" w:rsidRPr="00480146" w:rsidRDefault="001A4803" w:rsidP="001A4803">
      <w:pPr>
        <w:rPr>
          <w:rFonts w:cstheme="minorHAnsi"/>
          <w:color w:val="262626" w:themeColor="text1" w:themeTint="D9"/>
        </w:rPr>
      </w:pPr>
      <w:r w:rsidRPr="00480146">
        <w:rPr>
          <w:rFonts w:cstheme="minorHAnsi"/>
          <w:b/>
          <w:bCs/>
          <w:color w:val="262626" w:themeColor="text1" w:themeTint="D9"/>
        </w:rPr>
        <w:t>Executive Board:</w:t>
      </w:r>
      <w:r w:rsidRPr="00480146">
        <w:rPr>
          <w:rFonts w:cstheme="minorHAnsi"/>
          <w:color w:val="262626" w:themeColor="text1" w:themeTint="D9"/>
        </w:rPr>
        <w:t> 24 Directors each representing a single country or a group of countries</w:t>
      </w:r>
    </w:p>
    <w:p w:rsidR="00EA1504" w:rsidRDefault="005858FC" w:rsidP="00EA1504">
      <w:pPr>
        <w:spacing w:line="240" w:lineRule="auto"/>
        <w:rPr>
          <w:rFonts w:cstheme="minorHAnsi"/>
          <w:color w:val="262626" w:themeColor="text1" w:themeTint="D9"/>
        </w:rPr>
      </w:pPr>
      <w:r w:rsidRPr="005858FC">
        <w:rPr>
          <w:rFonts w:cstheme="minorHAnsi"/>
          <w:b/>
          <w:color w:val="262626" w:themeColor="text1" w:themeTint="D9"/>
        </w:rPr>
        <w:t>Reports Published by IMF</w:t>
      </w:r>
      <w:r w:rsidR="00EA1504" w:rsidRPr="00EA1504">
        <w:rPr>
          <w:rFonts w:cstheme="minorHAnsi"/>
          <w:b/>
          <w:color w:val="262626" w:themeColor="text1" w:themeTint="D9"/>
          <w:sz w:val="24"/>
        </w:rPr>
        <w:t>:</w:t>
      </w:r>
      <w:r w:rsidRPr="00EA1504">
        <w:rPr>
          <w:rFonts w:cstheme="minorHAnsi"/>
          <w:color w:val="262626" w:themeColor="text1" w:themeTint="D9"/>
        </w:rPr>
        <w:t xml:space="preserve"> </w:t>
      </w:r>
      <w:r>
        <w:rPr>
          <w:rFonts w:cstheme="minorHAnsi"/>
          <w:color w:val="262626" w:themeColor="text1" w:themeTint="D9"/>
        </w:rPr>
        <w:t xml:space="preserve"> 1. World Economic Outlook </w:t>
      </w:r>
    </w:p>
    <w:p w:rsidR="005858FC" w:rsidRPr="00480146" w:rsidRDefault="00EA1504" w:rsidP="00EA1504">
      <w:pPr>
        <w:spacing w:line="240" w:lineRule="auto"/>
        <w:rPr>
          <w:rFonts w:cstheme="minorHAnsi"/>
          <w:color w:val="262626" w:themeColor="text1" w:themeTint="D9"/>
        </w:rPr>
      </w:pPr>
      <w:r>
        <w:rPr>
          <w:rFonts w:cstheme="minorHAnsi"/>
          <w:color w:val="262626" w:themeColor="text1" w:themeTint="D9"/>
        </w:rPr>
        <w:t xml:space="preserve">                                                  </w:t>
      </w:r>
      <w:r w:rsidR="005858FC">
        <w:rPr>
          <w:rFonts w:cstheme="minorHAnsi"/>
          <w:color w:val="262626" w:themeColor="text1" w:themeTint="D9"/>
        </w:rPr>
        <w:t>2. Global Financial Stability Report</w:t>
      </w:r>
    </w:p>
    <w:p w:rsidR="001A4803" w:rsidRPr="00480146" w:rsidRDefault="001A4803" w:rsidP="001A4803">
      <w:pPr>
        <w:pStyle w:val="Heading6"/>
        <w:rPr>
          <w:rFonts w:asciiTheme="minorHAnsi" w:hAnsiTheme="minorHAnsi" w:cstheme="minorHAnsi"/>
          <w:b/>
          <w:i w:val="0"/>
          <w:color w:val="262626" w:themeColor="text1" w:themeTint="D9"/>
          <w:sz w:val="24"/>
          <w:u w:val="single"/>
        </w:rPr>
      </w:pPr>
      <w:r w:rsidRPr="00480146">
        <w:rPr>
          <w:rFonts w:asciiTheme="minorHAnsi" w:hAnsiTheme="minorHAnsi" w:cstheme="minorHAnsi"/>
          <w:b/>
          <w:i w:val="0"/>
          <w:color w:val="262626" w:themeColor="text1" w:themeTint="D9"/>
          <w:sz w:val="24"/>
          <w:u w:val="single"/>
        </w:rPr>
        <w:t>Why the IMF was created and how it works</w:t>
      </w:r>
    </w:p>
    <w:p w:rsidR="001A4803" w:rsidRPr="00480146" w:rsidRDefault="001A4803" w:rsidP="001A4803">
      <w:pPr>
        <w:pStyle w:val="NormalWeb"/>
        <w:rPr>
          <w:rFonts w:asciiTheme="minorHAnsi" w:hAnsiTheme="minorHAnsi" w:cstheme="minorHAnsi"/>
          <w:color w:val="262626" w:themeColor="text1" w:themeTint="D9"/>
          <w:sz w:val="22"/>
          <w:szCs w:val="22"/>
        </w:rPr>
      </w:pPr>
      <w:r w:rsidRPr="00480146">
        <w:rPr>
          <w:rFonts w:asciiTheme="minorHAnsi" w:hAnsiTheme="minorHAnsi" w:cstheme="minorHAnsi"/>
          <w:color w:val="262626" w:themeColor="text1" w:themeTint="D9"/>
          <w:sz w:val="22"/>
          <w:szCs w:val="22"/>
        </w:rPr>
        <w:t>The IMF, also known as the Fund, was conceived at a UN conference in Bretton Woods, New Hampshire, United States, in July 1944. The 44 countries at that conference sought to build a framework for economic cooperation to avoid a repetition of the competitive devaluations that had contributed to the Great Depression of the 1930s.</w:t>
      </w:r>
    </w:p>
    <w:p w:rsidR="001A4803" w:rsidRPr="00480146" w:rsidRDefault="001A4803" w:rsidP="001A4803">
      <w:pPr>
        <w:pStyle w:val="NormalWeb"/>
        <w:rPr>
          <w:rFonts w:asciiTheme="minorHAnsi" w:hAnsiTheme="minorHAnsi" w:cstheme="minorHAnsi"/>
          <w:color w:val="262626" w:themeColor="text1" w:themeTint="D9"/>
          <w:sz w:val="22"/>
          <w:szCs w:val="22"/>
        </w:rPr>
      </w:pPr>
      <w:r w:rsidRPr="00480146">
        <w:rPr>
          <w:rFonts w:asciiTheme="minorHAnsi" w:eastAsiaTheme="majorEastAsia" w:hAnsiTheme="minorHAnsi" w:cstheme="minorHAnsi"/>
          <w:b/>
          <w:color w:val="262626" w:themeColor="text1" w:themeTint="D9"/>
          <w:sz w:val="22"/>
          <w:szCs w:val="22"/>
          <w:u w:val="single"/>
        </w:rPr>
        <w:t>The IMF's responsibilities</w:t>
      </w:r>
      <w:r w:rsidRPr="00480146">
        <w:rPr>
          <w:rFonts w:asciiTheme="minorHAnsi" w:hAnsiTheme="minorHAnsi" w:cstheme="minorHAnsi"/>
          <w:color w:val="262626" w:themeColor="text1" w:themeTint="D9"/>
          <w:sz w:val="22"/>
          <w:szCs w:val="22"/>
          <w:u w:val="single"/>
        </w:rPr>
        <w:t>:</w:t>
      </w:r>
      <w:r w:rsidRPr="00480146">
        <w:rPr>
          <w:rFonts w:asciiTheme="minorHAnsi" w:hAnsiTheme="minorHAnsi" w:cstheme="minorHAnsi"/>
          <w:color w:val="262626" w:themeColor="text1" w:themeTint="D9"/>
          <w:sz w:val="22"/>
          <w:szCs w:val="22"/>
        </w:rPr>
        <w:t xml:space="preserve"> The IMF's primary purpose is to ensure the stability of the international monetary system—the system of exchange rates and international payments that enables countries (and their citizens) to transact with each other</w:t>
      </w:r>
      <w:r w:rsidR="009872D6" w:rsidRPr="00480146">
        <w:rPr>
          <w:rFonts w:asciiTheme="minorHAnsi" w:hAnsiTheme="minorHAnsi" w:cstheme="minorHAnsi"/>
          <w:color w:val="262626" w:themeColor="text1" w:themeTint="D9"/>
          <w:sz w:val="22"/>
          <w:szCs w:val="22"/>
        </w:rPr>
        <w:t>.</w:t>
      </w:r>
    </w:p>
    <w:p w:rsidR="001A4803" w:rsidRPr="00480146" w:rsidRDefault="001A4803" w:rsidP="001A4803">
      <w:pPr>
        <w:rPr>
          <w:rFonts w:cstheme="minorHAnsi"/>
          <w:b/>
          <w:color w:val="262626" w:themeColor="text1" w:themeTint="D9"/>
        </w:rPr>
      </w:pPr>
      <w:r w:rsidRPr="00480146">
        <w:rPr>
          <w:rFonts w:cstheme="minorHAnsi"/>
          <w:b/>
          <w:color w:val="262626" w:themeColor="text1" w:themeTint="D9"/>
          <w:sz w:val="24"/>
          <w:u w:val="single"/>
        </w:rPr>
        <w:t>Original aims</w:t>
      </w:r>
      <w:r w:rsidRPr="00480146">
        <w:rPr>
          <w:rFonts w:cstheme="minorHAnsi"/>
          <w:b/>
          <w:color w:val="262626" w:themeColor="text1" w:themeTint="D9"/>
          <w:sz w:val="24"/>
        </w:rPr>
        <w:t>:</w:t>
      </w:r>
    </w:p>
    <w:p w:rsidR="001A4803" w:rsidRPr="00480146" w:rsidRDefault="009872D6" w:rsidP="009872D6">
      <w:pPr>
        <w:pStyle w:val="ListParagraph"/>
        <w:numPr>
          <w:ilvl w:val="0"/>
          <w:numId w:val="3"/>
        </w:numPr>
        <w:rPr>
          <w:rFonts w:cstheme="minorHAnsi"/>
          <w:color w:val="262626" w:themeColor="text1" w:themeTint="D9"/>
        </w:rPr>
      </w:pPr>
      <w:r w:rsidRPr="00480146">
        <w:rPr>
          <w:rFonts w:cstheme="minorHAnsi"/>
          <w:color w:val="262626" w:themeColor="text1" w:themeTint="D9"/>
        </w:rPr>
        <w:t>P</w:t>
      </w:r>
      <w:r w:rsidR="001A4803" w:rsidRPr="00480146">
        <w:rPr>
          <w:rFonts w:cstheme="minorHAnsi"/>
          <w:color w:val="262626" w:themeColor="text1" w:themeTint="D9"/>
        </w:rPr>
        <w:t>romote international monetary cooperation;</w:t>
      </w:r>
    </w:p>
    <w:p w:rsidR="001A4803" w:rsidRPr="00480146" w:rsidRDefault="009872D6" w:rsidP="009872D6">
      <w:pPr>
        <w:pStyle w:val="ListParagraph"/>
        <w:numPr>
          <w:ilvl w:val="0"/>
          <w:numId w:val="3"/>
        </w:numPr>
        <w:rPr>
          <w:rFonts w:cstheme="minorHAnsi"/>
          <w:color w:val="262626" w:themeColor="text1" w:themeTint="D9"/>
        </w:rPr>
      </w:pPr>
      <w:r w:rsidRPr="00480146">
        <w:rPr>
          <w:rFonts w:cstheme="minorHAnsi"/>
          <w:color w:val="262626" w:themeColor="text1" w:themeTint="D9"/>
        </w:rPr>
        <w:t>F</w:t>
      </w:r>
      <w:r w:rsidR="001A4803" w:rsidRPr="00480146">
        <w:rPr>
          <w:rFonts w:cstheme="minorHAnsi"/>
          <w:color w:val="262626" w:themeColor="text1" w:themeTint="D9"/>
        </w:rPr>
        <w:t>acilitate the expansion and balanced growth of international trade;</w:t>
      </w:r>
    </w:p>
    <w:p w:rsidR="001A4803" w:rsidRPr="00480146" w:rsidRDefault="009872D6" w:rsidP="009872D6">
      <w:pPr>
        <w:pStyle w:val="ListParagraph"/>
        <w:numPr>
          <w:ilvl w:val="0"/>
          <w:numId w:val="3"/>
        </w:numPr>
        <w:rPr>
          <w:rFonts w:cstheme="minorHAnsi"/>
          <w:color w:val="262626" w:themeColor="text1" w:themeTint="D9"/>
        </w:rPr>
      </w:pPr>
      <w:r w:rsidRPr="00480146">
        <w:rPr>
          <w:rFonts w:cstheme="minorHAnsi"/>
          <w:color w:val="262626" w:themeColor="text1" w:themeTint="D9"/>
        </w:rPr>
        <w:t>P</w:t>
      </w:r>
      <w:r w:rsidR="001A4803" w:rsidRPr="00480146">
        <w:rPr>
          <w:rFonts w:cstheme="minorHAnsi"/>
          <w:color w:val="262626" w:themeColor="text1" w:themeTint="D9"/>
        </w:rPr>
        <w:t>romote exchange stability;</w:t>
      </w:r>
    </w:p>
    <w:p w:rsidR="001A4803" w:rsidRPr="00480146" w:rsidRDefault="009872D6" w:rsidP="009872D6">
      <w:pPr>
        <w:pStyle w:val="ListParagraph"/>
        <w:numPr>
          <w:ilvl w:val="0"/>
          <w:numId w:val="3"/>
        </w:numPr>
        <w:rPr>
          <w:rFonts w:cstheme="minorHAnsi"/>
          <w:color w:val="262626" w:themeColor="text1" w:themeTint="D9"/>
        </w:rPr>
      </w:pPr>
      <w:r w:rsidRPr="00480146">
        <w:rPr>
          <w:rFonts w:cstheme="minorHAnsi"/>
          <w:color w:val="262626" w:themeColor="text1" w:themeTint="D9"/>
        </w:rPr>
        <w:t>A</w:t>
      </w:r>
      <w:r w:rsidR="001A4803" w:rsidRPr="00480146">
        <w:rPr>
          <w:rFonts w:cstheme="minorHAnsi"/>
          <w:color w:val="262626" w:themeColor="text1" w:themeTint="D9"/>
        </w:rPr>
        <w:t>ssist in the establishment of a multilateral system of payments; and</w:t>
      </w:r>
    </w:p>
    <w:p w:rsidR="001A4803" w:rsidRPr="00480146" w:rsidRDefault="009872D6" w:rsidP="009872D6">
      <w:pPr>
        <w:pStyle w:val="ListParagraph"/>
        <w:numPr>
          <w:ilvl w:val="0"/>
          <w:numId w:val="3"/>
        </w:numPr>
        <w:rPr>
          <w:rFonts w:cstheme="minorHAnsi"/>
          <w:color w:val="262626" w:themeColor="text1" w:themeTint="D9"/>
        </w:rPr>
      </w:pPr>
      <w:r w:rsidRPr="00480146">
        <w:rPr>
          <w:rFonts w:cstheme="minorHAnsi"/>
          <w:color w:val="262626" w:themeColor="text1" w:themeTint="D9"/>
        </w:rPr>
        <w:t>M</w:t>
      </w:r>
      <w:r w:rsidR="001A4803" w:rsidRPr="00480146">
        <w:rPr>
          <w:rFonts w:cstheme="minorHAnsi"/>
          <w:color w:val="262626" w:themeColor="text1" w:themeTint="D9"/>
        </w:rPr>
        <w:t>ake resources available (with adequate safeguards) to members experiencing balance of payments difficulties.</w:t>
      </w:r>
    </w:p>
    <w:p w:rsidR="001A4803" w:rsidRPr="00480146" w:rsidRDefault="009872D6" w:rsidP="001A4803">
      <w:pPr>
        <w:pStyle w:val="Heading3"/>
        <w:rPr>
          <w:rFonts w:asciiTheme="minorHAnsi" w:hAnsiTheme="minorHAnsi" w:cstheme="minorHAnsi"/>
          <w:color w:val="262626" w:themeColor="text1" w:themeTint="D9"/>
          <w:sz w:val="24"/>
          <w:szCs w:val="22"/>
          <w:u w:val="single"/>
        </w:rPr>
      </w:pPr>
      <w:r w:rsidRPr="00480146">
        <w:rPr>
          <w:rFonts w:asciiTheme="minorHAnsi" w:hAnsiTheme="minorHAnsi" w:cstheme="minorHAnsi"/>
          <w:color w:val="262626" w:themeColor="text1" w:themeTint="D9"/>
          <w:sz w:val="24"/>
          <w:szCs w:val="22"/>
          <w:u w:val="single"/>
        </w:rPr>
        <w:t>The R</w:t>
      </w:r>
      <w:r w:rsidR="001A4803" w:rsidRPr="00480146">
        <w:rPr>
          <w:rFonts w:asciiTheme="minorHAnsi" w:hAnsiTheme="minorHAnsi" w:cstheme="minorHAnsi"/>
          <w:color w:val="262626" w:themeColor="text1" w:themeTint="D9"/>
          <w:sz w:val="24"/>
          <w:szCs w:val="22"/>
          <w:u w:val="single"/>
        </w:rPr>
        <w:t>ole of the SDR</w:t>
      </w:r>
    </w:p>
    <w:p w:rsidR="009872D6" w:rsidRPr="00480146" w:rsidRDefault="001A4803" w:rsidP="009872D6">
      <w:pPr>
        <w:pStyle w:val="NormalWeb"/>
        <w:numPr>
          <w:ilvl w:val="0"/>
          <w:numId w:val="4"/>
        </w:numPr>
        <w:rPr>
          <w:rFonts w:asciiTheme="minorHAnsi" w:hAnsiTheme="minorHAnsi" w:cstheme="minorHAnsi"/>
          <w:color w:val="262626" w:themeColor="text1" w:themeTint="D9"/>
          <w:sz w:val="22"/>
          <w:szCs w:val="22"/>
        </w:rPr>
      </w:pPr>
      <w:r w:rsidRPr="00480146">
        <w:rPr>
          <w:rFonts w:asciiTheme="minorHAnsi" w:hAnsiTheme="minorHAnsi" w:cstheme="minorHAnsi"/>
          <w:color w:val="262626" w:themeColor="text1" w:themeTint="D9"/>
          <w:sz w:val="22"/>
          <w:szCs w:val="22"/>
        </w:rPr>
        <w:t xml:space="preserve">The SDR was created by the IMF in 1969 as a supplementary international reserve asset, in the context of the Bretton Woods fixed exchange rate system. </w:t>
      </w:r>
    </w:p>
    <w:p w:rsidR="009872D6" w:rsidRPr="00480146" w:rsidRDefault="001A4803" w:rsidP="009872D6">
      <w:pPr>
        <w:pStyle w:val="NormalWeb"/>
        <w:numPr>
          <w:ilvl w:val="0"/>
          <w:numId w:val="4"/>
        </w:numPr>
        <w:rPr>
          <w:rFonts w:asciiTheme="minorHAnsi" w:hAnsiTheme="minorHAnsi" w:cstheme="minorHAnsi"/>
          <w:color w:val="262626" w:themeColor="text1" w:themeTint="D9"/>
          <w:sz w:val="22"/>
          <w:szCs w:val="22"/>
        </w:rPr>
      </w:pPr>
      <w:r w:rsidRPr="00480146">
        <w:rPr>
          <w:rFonts w:asciiTheme="minorHAnsi" w:hAnsiTheme="minorHAnsi" w:cstheme="minorHAnsi"/>
          <w:color w:val="262626" w:themeColor="text1" w:themeTint="D9"/>
          <w:sz w:val="22"/>
          <w:szCs w:val="22"/>
        </w:rPr>
        <w:lastRenderedPageBreak/>
        <w:t>A country participating in this system needed official reserves—government or central bank holdings of gold and widely accepted foreign currencies—that could be used to purchase its domestic currency in foreign exchange markets, as required to maintain its exchange rate.</w:t>
      </w:r>
    </w:p>
    <w:p w:rsidR="009872D6" w:rsidRPr="00480146" w:rsidRDefault="001A4803" w:rsidP="009872D6">
      <w:pPr>
        <w:pStyle w:val="NormalWeb"/>
        <w:numPr>
          <w:ilvl w:val="0"/>
          <w:numId w:val="4"/>
        </w:numPr>
        <w:rPr>
          <w:rFonts w:asciiTheme="minorHAnsi" w:hAnsiTheme="minorHAnsi" w:cstheme="minorHAnsi"/>
          <w:color w:val="262626" w:themeColor="text1" w:themeTint="D9"/>
          <w:sz w:val="22"/>
          <w:szCs w:val="22"/>
        </w:rPr>
      </w:pPr>
      <w:r w:rsidRPr="00480146">
        <w:rPr>
          <w:rFonts w:asciiTheme="minorHAnsi" w:hAnsiTheme="minorHAnsi" w:cstheme="minorHAnsi"/>
          <w:color w:val="262626" w:themeColor="text1" w:themeTint="D9"/>
          <w:sz w:val="22"/>
          <w:szCs w:val="22"/>
        </w:rPr>
        <w:t>But the international supply of two key reserve assets—</w:t>
      </w:r>
      <w:r w:rsidRPr="00480146">
        <w:rPr>
          <w:rFonts w:asciiTheme="minorHAnsi" w:eastAsiaTheme="majorEastAsia" w:hAnsiTheme="minorHAnsi" w:cstheme="minorHAnsi"/>
          <w:color w:val="262626" w:themeColor="text1" w:themeTint="D9"/>
          <w:sz w:val="22"/>
          <w:szCs w:val="22"/>
        </w:rPr>
        <w:t>gold</w:t>
      </w:r>
      <w:r w:rsidRPr="00480146">
        <w:rPr>
          <w:rStyle w:val="apple-converted-space"/>
          <w:rFonts w:asciiTheme="minorHAnsi" w:hAnsiTheme="minorHAnsi" w:cstheme="minorHAnsi"/>
          <w:color w:val="262626" w:themeColor="text1" w:themeTint="D9"/>
          <w:sz w:val="22"/>
          <w:szCs w:val="22"/>
        </w:rPr>
        <w:t> </w:t>
      </w:r>
      <w:r w:rsidRPr="00480146">
        <w:rPr>
          <w:rFonts w:asciiTheme="minorHAnsi" w:hAnsiTheme="minorHAnsi" w:cstheme="minorHAnsi"/>
          <w:color w:val="262626" w:themeColor="text1" w:themeTint="D9"/>
          <w:sz w:val="22"/>
          <w:szCs w:val="22"/>
        </w:rPr>
        <w:t xml:space="preserve">and the U.S. dollar—proved inadequate for supporting the expansion of world trade and financial flows that was taking place. </w:t>
      </w:r>
    </w:p>
    <w:p w:rsidR="009872D6" w:rsidRPr="00480146" w:rsidRDefault="001A4803" w:rsidP="009872D6">
      <w:pPr>
        <w:pStyle w:val="NormalWeb"/>
        <w:numPr>
          <w:ilvl w:val="0"/>
          <w:numId w:val="4"/>
        </w:numPr>
        <w:rPr>
          <w:rFonts w:asciiTheme="minorHAnsi" w:hAnsiTheme="minorHAnsi" w:cstheme="minorHAnsi"/>
          <w:color w:val="262626" w:themeColor="text1" w:themeTint="D9"/>
          <w:sz w:val="22"/>
          <w:szCs w:val="22"/>
        </w:rPr>
      </w:pPr>
      <w:r w:rsidRPr="00480146">
        <w:rPr>
          <w:rFonts w:asciiTheme="minorHAnsi" w:hAnsiTheme="minorHAnsi" w:cstheme="minorHAnsi"/>
          <w:color w:val="262626" w:themeColor="text1" w:themeTint="D9"/>
          <w:sz w:val="22"/>
          <w:szCs w:val="22"/>
        </w:rPr>
        <w:t>Therefore, the international community decided to create a new international reserve asset under the auspices of the IMF.</w:t>
      </w:r>
    </w:p>
    <w:p w:rsidR="009872D6" w:rsidRPr="00480146" w:rsidRDefault="001A4803" w:rsidP="009872D6">
      <w:pPr>
        <w:pStyle w:val="NormalWeb"/>
        <w:numPr>
          <w:ilvl w:val="0"/>
          <w:numId w:val="4"/>
        </w:numPr>
        <w:rPr>
          <w:rFonts w:asciiTheme="minorHAnsi" w:hAnsiTheme="minorHAnsi" w:cstheme="minorHAnsi"/>
          <w:color w:val="262626" w:themeColor="text1" w:themeTint="D9"/>
          <w:sz w:val="22"/>
          <w:szCs w:val="22"/>
          <w:shd w:val="clear" w:color="auto" w:fill="FFFFFF"/>
        </w:rPr>
      </w:pPr>
      <w:r w:rsidRPr="00480146">
        <w:rPr>
          <w:rFonts w:asciiTheme="minorHAnsi" w:hAnsiTheme="minorHAnsi" w:cstheme="minorHAnsi"/>
          <w:color w:val="262626" w:themeColor="text1" w:themeTint="D9"/>
          <w:sz w:val="22"/>
          <w:szCs w:val="22"/>
          <w:shd w:val="clear" w:color="auto" w:fill="FFFFFF"/>
        </w:rPr>
        <w:t>The SDR is neither a currency, nor a claim on the IMF. Rather, it is a potential claim on the freely usable currencies of IMF members.</w:t>
      </w:r>
    </w:p>
    <w:p w:rsidR="009872D6" w:rsidRPr="00480146" w:rsidRDefault="001A4803" w:rsidP="009872D6">
      <w:pPr>
        <w:pStyle w:val="NormalWeb"/>
        <w:numPr>
          <w:ilvl w:val="0"/>
          <w:numId w:val="4"/>
        </w:numPr>
        <w:rPr>
          <w:rFonts w:asciiTheme="minorHAnsi" w:hAnsiTheme="minorHAnsi" w:cstheme="minorHAnsi"/>
          <w:color w:val="262626" w:themeColor="text1" w:themeTint="D9"/>
          <w:sz w:val="22"/>
          <w:szCs w:val="22"/>
          <w:shd w:val="clear" w:color="auto" w:fill="FFFFFF"/>
        </w:rPr>
      </w:pPr>
      <w:r w:rsidRPr="00480146">
        <w:rPr>
          <w:rFonts w:asciiTheme="minorHAnsi" w:hAnsiTheme="minorHAnsi" w:cstheme="minorHAnsi"/>
          <w:color w:val="262626" w:themeColor="text1" w:themeTint="D9"/>
          <w:sz w:val="22"/>
          <w:szCs w:val="22"/>
          <w:shd w:val="clear" w:color="auto" w:fill="FFFFFF"/>
        </w:rPr>
        <w:t xml:space="preserve">Holders of SDRs can obtain these currencies in exchange for their SDRs in two ways: first, through the arrangement of voluntary exchanges between members; and second, by the IMF designating members with strong external positions to purchase SDRs from members with weak external positions. </w:t>
      </w:r>
    </w:p>
    <w:p w:rsidR="00B00CB0" w:rsidRPr="00480146" w:rsidRDefault="001A4803" w:rsidP="009872D6">
      <w:pPr>
        <w:pStyle w:val="NormalWeb"/>
        <w:numPr>
          <w:ilvl w:val="0"/>
          <w:numId w:val="4"/>
        </w:numPr>
        <w:rPr>
          <w:rFonts w:asciiTheme="minorHAnsi" w:hAnsiTheme="minorHAnsi" w:cstheme="minorHAnsi"/>
          <w:color w:val="262626" w:themeColor="text1" w:themeTint="D9"/>
          <w:sz w:val="22"/>
          <w:szCs w:val="22"/>
        </w:rPr>
      </w:pPr>
      <w:r w:rsidRPr="00480146">
        <w:rPr>
          <w:rFonts w:asciiTheme="minorHAnsi" w:hAnsiTheme="minorHAnsi" w:cstheme="minorHAnsi"/>
          <w:color w:val="262626" w:themeColor="text1" w:themeTint="D9"/>
          <w:sz w:val="22"/>
          <w:szCs w:val="22"/>
          <w:shd w:val="clear" w:color="auto" w:fill="FFFFFF"/>
        </w:rPr>
        <w:t>In addition to its role as a supplementary reserve asset, the SDR serves as the unit of account of the IMF and some other international organizations.</w:t>
      </w:r>
    </w:p>
    <w:p w:rsidR="00480146" w:rsidRPr="00480146" w:rsidRDefault="00480146" w:rsidP="00480146">
      <w:pPr>
        <w:pStyle w:val="NormalWeb"/>
        <w:rPr>
          <w:rFonts w:asciiTheme="minorHAnsi" w:hAnsiTheme="minorHAnsi" w:cstheme="minorHAnsi"/>
          <w:b/>
          <w:color w:val="262626" w:themeColor="text1" w:themeTint="D9"/>
          <w:szCs w:val="22"/>
          <w:u w:val="single"/>
        </w:rPr>
      </w:pPr>
      <w:r w:rsidRPr="00480146">
        <w:rPr>
          <w:rFonts w:asciiTheme="minorHAnsi" w:hAnsiTheme="minorHAnsi" w:cstheme="minorHAnsi"/>
          <w:b/>
          <w:color w:val="262626" w:themeColor="text1" w:themeTint="D9"/>
          <w:szCs w:val="22"/>
          <w:u w:val="single"/>
          <w:shd w:val="clear" w:color="auto" w:fill="FFFFFF"/>
        </w:rPr>
        <w:t>Criticism of IMF</w:t>
      </w:r>
    </w:p>
    <w:p w:rsidR="009872D6" w:rsidRPr="00480146" w:rsidRDefault="009872D6" w:rsidP="000971F3">
      <w:pPr>
        <w:pStyle w:val="ListParagraph"/>
        <w:numPr>
          <w:ilvl w:val="0"/>
          <w:numId w:val="6"/>
        </w:numPr>
        <w:shd w:val="clear" w:color="auto" w:fill="FFFFFF"/>
        <w:spacing w:before="100" w:beforeAutospacing="1" w:after="24" w:line="336" w:lineRule="atLeast"/>
        <w:rPr>
          <w:rFonts w:eastAsia="Times New Roman" w:cstheme="minorHAnsi"/>
          <w:color w:val="262626" w:themeColor="text1" w:themeTint="D9"/>
        </w:rPr>
      </w:pPr>
      <w:r w:rsidRPr="00480146">
        <w:rPr>
          <w:rFonts w:eastAsia="Times New Roman" w:cstheme="minorHAnsi"/>
          <w:color w:val="262626" w:themeColor="text1" w:themeTint="D9"/>
        </w:rPr>
        <w:t>Developed countries were seen to have a more dominant role and control over </w:t>
      </w:r>
      <w:hyperlink r:id="rId7" w:tooltip="Developing country" w:history="1">
        <w:r w:rsidRPr="00480146">
          <w:rPr>
            <w:rFonts w:eastAsia="Times New Roman" w:cstheme="minorHAnsi"/>
            <w:color w:val="262626" w:themeColor="text1" w:themeTint="D9"/>
          </w:rPr>
          <w:t>less developed countries</w:t>
        </w:r>
      </w:hyperlink>
      <w:r w:rsidRPr="00480146">
        <w:rPr>
          <w:rFonts w:eastAsia="Times New Roman" w:cstheme="minorHAnsi"/>
          <w:color w:val="262626" w:themeColor="text1" w:themeTint="D9"/>
        </w:rPr>
        <w:t> (LDCs).</w:t>
      </w:r>
    </w:p>
    <w:p w:rsidR="000971F3" w:rsidRPr="00480146" w:rsidRDefault="009872D6" w:rsidP="000971F3">
      <w:pPr>
        <w:pStyle w:val="ListParagraph"/>
        <w:numPr>
          <w:ilvl w:val="0"/>
          <w:numId w:val="6"/>
        </w:numPr>
        <w:shd w:val="clear" w:color="auto" w:fill="FFFFFF"/>
        <w:spacing w:before="100" w:beforeAutospacing="1" w:after="24" w:line="336" w:lineRule="atLeast"/>
        <w:rPr>
          <w:rFonts w:eastAsia="Times New Roman" w:cstheme="minorHAnsi"/>
          <w:color w:val="262626" w:themeColor="text1" w:themeTint="D9"/>
        </w:rPr>
      </w:pPr>
      <w:r w:rsidRPr="00480146">
        <w:rPr>
          <w:rFonts w:eastAsia="Times New Roman" w:cstheme="minorHAnsi"/>
          <w:color w:val="262626" w:themeColor="text1" w:themeTint="D9"/>
        </w:rPr>
        <w:t>Secondly, the Fund worked on the incorrect assumption that all payments </w:t>
      </w:r>
      <w:hyperlink r:id="rId8" w:tooltip="Disequilibria" w:history="1">
        <w:r w:rsidRPr="00480146">
          <w:rPr>
            <w:rFonts w:eastAsia="Times New Roman" w:cstheme="minorHAnsi"/>
            <w:color w:val="262626" w:themeColor="text1" w:themeTint="D9"/>
          </w:rPr>
          <w:t>disequilibria</w:t>
        </w:r>
      </w:hyperlink>
      <w:r w:rsidRPr="00480146">
        <w:rPr>
          <w:rFonts w:eastAsia="Times New Roman" w:cstheme="minorHAnsi"/>
          <w:color w:val="262626" w:themeColor="text1" w:themeTint="D9"/>
        </w:rPr>
        <w:t> were caused domestically. The Group of 24 (G-24), on behalf of LDC members, and the </w:t>
      </w:r>
      <w:hyperlink r:id="rId9" w:tooltip="United Nations Conference on Trade and Development" w:history="1">
        <w:r w:rsidRPr="00480146">
          <w:rPr>
            <w:rFonts w:eastAsia="Times New Roman" w:cstheme="minorHAnsi"/>
            <w:color w:val="262626" w:themeColor="text1" w:themeTint="D9"/>
          </w:rPr>
          <w:t>United Nations Conference on Trade and Development</w:t>
        </w:r>
      </w:hyperlink>
      <w:r w:rsidRPr="00480146">
        <w:rPr>
          <w:rFonts w:eastAsia="Times New Roman" w:cstheme="minorHAnsi"/>
          <w:color w:val="262626" w:themeColor="text1" w:themeTint="D9"/>
        </w:rPr>
        <w:t> (UNCTAD) complained that the IMF did not distinguish sufficiently between disequilibria with predominantly external as opposed to internal causes. This criticism was voiced in the aftermath of the </w:t>
      </w:r>
      <w:hyperlink r:id="rId10" w:tooltip="1973 oil crisis" w:history="1">
        <w:r w:rsidRPr="00480146">
          <w:rPr>
            <w:rFonts w:eastAsia="Times New Roman" w:cstheme="minorHAnsi"/>
            <w:color w:val="262626" w:themeColor="text1" w:themeTint="D9"/>
          </w:rPr>
          <w:t>1973 oil crisis</w:t>
        </w:r>
      </w:hyperlink>
      <w:r w:rsidRPr="00480146">
        <w:rPr>
          <w:rFonts w:eastAsia="Times New Roman" w:cstheme="minorHAnsi"/>
          <w:color w:val="262626" w:themeColor="text1" w:themeTint="D9"/>
        </w:rPr>
        <w:t xml:space="preserve">. </w:t>
      </w:r>
    </w:p>
    <w:p w:rsidR="009872D6" w:rsidRPr="00480146" w:rsidRDefault="009872D6" w:rsidP="000971F3">
      <w:pPr>
        <w:pStyle w:val="ListParagraph"/>
        <w:numPr>
          <w:ilvl w:val="0"/>
          <w:numId w:val="6"/>
        </w:numPr>
        <w:shd w:val="clear" w:color="auto" w:fill="FFFFFF"/>
        <w:spacing w:before="100" w:beforeAutospacing="1" w:after="24" w:line="336" w:lineRule="atLeast"/>
        <w:rPr>
          <w:rFonts w:eastAsia="Times New Roman" w:cstheme="minorHAnsi"/>
          <w:color w:val="262626" w:themeColor="text1" w:themeTint="D9"/>
        </w:rPr>
      </w:pPr>
      <w:r w:rsidRPr="00480146">
        <w:rPr>
          <w:rFonts w:eastAsia="Times New Roman" w:cstheme="minorHAnsi"/>
          <w:color w:val="262626" w:themeColor="text1" w:themeTint="D9"/>
        </w:rPr>
        <w:t>Then LDCs found themselves with payments deficits due to adverse changes in their </w:t>
      </w:r>
      <w:hyperlink r:id="rId11" w:tooltip="Terms of trade" w:history="1">
        <w:r w:rsidRPr="00480146">
          <w:rPr>
            <w:rFonts w:eastAsia="Times New Roman" w:cstheme="minorHAnsi"/>
            <w:color w:val="262626" w:themeColor="text1" w:themeTint="D9"/>
          </w:rPr>
          <w:t>terms of trade</w:t>
        </w:r>
      </w:hyperlink>
      <w:r w:rsidRPr="00480146">
        <w:rPr>
          <w:rFonts w:eastAsia="Times New Roman" w:cstheme="minorHAnsi"/>
          <w:color w:val="262626" w:themeColor="text1" w:themeTint="D9"/>
        </w:rPr>
        <w:t>, with the Fund prescribing stabilization programmes similar to those suggested for deficits caused by government over-spending. Faced with long-term, externally generated disequilibria, the G-24 argued for more time for LDCs to adjust their economies.</w:t>
      </w:r>
    </w:p>
    <w:p w:rsidR="009872D6" w:rsidRPr="00480146" w:rsidRDefault="009872D6" w:rsidP="000971F3">
      <w:pPr>
        <w:pStyle w:val="ListParagraph"/>
        <w:numPr>
          <w:ilvl w:val="0"/>
          <w:numId w:val="6"/>
        </w:numPr>
        <w:shd w:val="clear" w:color="auto" w:fill="FFFFFF"/>
        <w:spacing w:before="100" w:beforeAutospacing="1" w:after="24" w:line="336" w:lineRule="atLeast"/>
        <w:rPr>
          <w:rFonts w:eastAsia="Times New Roman" w:cstheme="minorHAnsi"/>
          <w:color w:val="262626" w:themeColor="text1" w:themeTint="D9"/>
        </w:rPr>
      </w:pPr>
      <w:r w:rsidRPr="00480146">
        <w:rPr>
          <w:rFonts w:eastAsia="Times New Roman" w:cstheme="minorHAnsi"/>
          <w:color w:val="262626" w:themeColor="text1" w:themeTint="D9"/>
        </w:rPr>
        <w:t>Some IMF policies may be anti-dev</w:t>
      </w:r>
      <w:r w:rsidR="000971F3" w:rsidRPr="00480146">
        <w:rPr>
          <w:rFonts w:eastAsia="Times New Roman" w:cstheme="minorHAnsi"/>
          <w:color w:val="262626" w:themeColor="text1" w:themeTint="D9"/>
        </w:rPr>
        <w:t>elopmental</w:t>
      </w:r>
      <w:proofErr w:type="gramStart"/>
      <w:r w:rsidR="000971F3" w:rsidRPr="00480146">
        <w:rPr>
          <w:rFonts w:eastAsia="Times New Roman" w:cstheme="minorHAnsi"/>
          <w:color w:val="262626" w:themeColor="text1" w:themeTint="D9"/>
        </w:rPr>
        <w:t xml:space="preserve">; </w:t>
      </w:r>
      <w:r w:rsidRPr="00480146">
        <w:rPr>
          <w:rFonts w:eastAsia="Times New Roman" w:cstheme="minorHAnsi"/>
          <w:color w:val="262626" w:themeColor="text1" w:themeTint="D9"/>
        </w:rPr>
        <w:t> </w:t>
      </w:r>
      <w:proofErr w:type="gramEnd"/>
      <w:hyperlink r:id="rId12" w:tooltip="Deflationary" w:history="1">
        <w:r w:rsidRPr="00480146">
          <w:rPr>
            <w:rFonts w:eastAsia="Times New Roman" w:cstheme="minorHAnsi"/>
            <w:color w:val="262626" w:themeColor="text1" w:themeTint="D9"/>
          </w:rPr>
          <w:t>deflationary</w:t>
        </w:r>
      </w:hyperlink>
      <w:r w:rsidRPr="00480146">
        <w:rPr>
          <w:rFonts w:eastAsia="Times New Roman" w:cstheme="minorHAnsi"/>
          <w:color w:val="262626" w:themeColor="text1" w:themeTint="D9"/>
        </w:rPr>
        <w:t> effects of IMF programmes quickly led to losses of output and employment in economies where incomes were low and unemployment was high. Moreover, the burden of the deflation is disproportionately borne by the poor.</w:t>
      </w:r>
    </w:p>
    <w:p w:rsidR="009872D6" w:rsidRPr="00480146" w:rsidRDefault="009872D6" w:rsidP="000971F3">
      <w:pPr>
        <w:pStyle w:val="ListParagraph"/>
        <w:numPr>
          <w:ilvl w:val="0"/>
          <w:numId w:val="6"/>
        </w:numPr>
        <w:shd w:val="clear" w:color="auto" w:fill="FFFFFF"/>
        <w:spacing w:before="100" w:beforeAutospacing="1" w:after="24" w:line="336" w:lineRule="atLeast"/>
        <w:rPr>
          <w:rFonts w:eastAsia="Times New Roman" w:cstheme="minorHAnsi"/>
          <w:color w:val="262626" w:themeColor="text1" w:themeTint="D9"/>
        </w:rPr>
      </w:pPr>
      <w:r w:rsidRPr="00480146">
        <w:rPr>
          <w:rFonts w:eastAsia="Times New Roman" w:cstheme="minorHAnsi"/>
          <w:color w:val="262626" w:themeColor="text1" w:themeTint="D9"/>
        </w:rPr>
        <w:t>IMF's policies lack a clear economic rationale. Its policy foundations were theoretical and unclear because of differing opinions and departmental rivalries whilst dealing with countries with widely varying economic circumstances.</w:t>
      </w:r>
    </w:p>
    <w:p w:rsidR="000971F3" w:rsidRPr="00480146" w:rsidRDefault="000971F3" w:rsidP="000971F3">
      <w:pPr>
        <w:pStyle w:val="ListParagraph"/>
        <w:numPr>
          <w:ilvl w:val="0"/>
          <w:numId w:val="6"/>
        </w:numPr>
        <w:shd w:val="clear" w:color="auto" w:fill="FFFFFF"/>
        <w:spacing w:before="100" w:beforeAutospacing="1" w:after="24" w:line="336" w:lineRule="atLeast"/>
        <w:rPr>
          <w:rFonts w:eastAsia="Times New Roman" w:cstheme="minorHAnsi"/>
          <w:color w:val="262626" w:themeColor="text1" w:themeTint="D9"/>
          <w:szCs w:val="21"/>
        </w:rPr>
      </w:pPr>
      <w:r w:rsidRPr="00480146">
        <w:rPr>
          <w:rFonts w:eastAsia="Times New Roman" w:cstheme="minorHAnsi"/>
          <w:color w:val="262626" w:themeColor="text1" w:themeTint="D9"/>
          <w:szCs w:val="21"/>
        </w:rPr>
        <w:t>The IMF has been criticised for being "out of touch" with local economic conditions, cultures, and environments in the countries they are requiring policy reform</w:t>
      </w:r>
    </w:p>
    <w:p w:rsidR="001A4803" w:rsidRDefault="000971F3" w:rsidP="001A4803">
      <w:pPr>
        <w:pStyle w:val="NormalWeb"/>
        <w:numPr>
          <w:ilvl w:val="0"/>
          <w:numId w:val="6"/>
        </w:numPr>
      </w:pPr>
      <w:r w:rsidRPr="00480146">
        <w:rPr>
          <w:rFonts w:asciiTheme="minorHAnsi" w:hAnsiTheme="minorHAnsi" w:cstheme="minorHAnsi"/>
          <w:color w:val="262626" w:themeColor="text1" w:themeTint="D9"/>
          <w:sz w:val="22"/>
          <w:szCs w:val="22"/>
        </w:rPr>
        <w:t>Argentina, which had been considered by the IMF to be a model country in its compliance to policy proposals by the Bretton Woods institutions, experienced a catastrophic economic crisis in 2001, which some believe to have been caused by IMF-induced bud</w:t>
      </w:r>
      <w:r w:rsidR="00480146">
        <w:rPr>
          <w:rFonts w:asciiTheme="minorHAnsi" w:hAnsiTheme="minorHAnsi" w:cstheme="minorHAnsi"/>
          <w:color w:val="262626" w:themeColor="text1" w:themeTint="D9"/>
          <w:sz w:val="22"/>
          <w:szCs w:val="22"/>
        </w:rPr>
        <w:t>get restrictions.</w:t>
      </w:r>
      <w:r w:rsidRPr="00480146">
        <w:rPr>
          <w:rFonts w:asciiTheme="minorHAnsi" w:hAnsiTheme="minorHAnsi" w:cstheme="minorHAnsi"/>
          <w:color w:val="262626" w:themeColor="text1" w:themeTint="D9"/>
          <w:sz w:val="22"/>
          <w:szCs w:val="22"/>
        </w:rPr>
        <w:t xml:space="preserve"> </w:t>
      </w:r>
    </w:p>
    <w:sectPr w:rsidR="001A4803" w:rsidSect="005369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D0409"/>
    <w:multiLevelType w:val="multilevel"/>
    <w:tmpl w:val="F474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752B28"/>
    <w:multiLevelType w:val="multilevel"/>
    <w:tmpl w:val="74A2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E191B"/>
    <w:multiLevelType w:val="multilevel"/>
    <w:tmpl w:val="D2A4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6867B9"/>
    <w:multiLevelType w:val="hybridMultilevel"/>
    <w:tmpl w:val="E822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94B6D"/>
    <w:multiLevelType w:val="hybridMultilevel"/>
    <w:tmpl w:val="B344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F96DF3"/>
    <w:multiLevelType w:val="hybridMultilevel"/>
    <w:tmpl w:val="ADB2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4803"/>
    <w:rsid w:val="000971F3"/>
    <w:rsid w:val="001A4803"/>
    <w:rsid w:val="002C68A5"/>
    <w:rsid w:val="003F624E"/>
    <w:rsid w:val="00480146"/>
    <w:rsid w:val="005369D6"/>
    <w:rsid w:val="005858FC"/>
    <w:rsid w:val="006C3F87"/>
    <w:rsid w:val="008A7D09"/>
    <w:rsid w:val="009872D6"/>
    <w:rsid w:val="00BF078B"/>
    <w:rsid w:val="00CF1446"/>
    <w:rsid w:val="00EA1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9D6"/>
  </w:style>
  <w:style w:type="paragraph" w:styleId="Heading2">
    <w:name w:val="heading 2"/>
    <w:basedOn w:val="Normal"/>
    <w:next w:val="Normal"/>
    <w:link w:val="Heading2Char"/>
    <w:uiPriority w:val="9"/>
    <w:semiHidden/>
    <w:unhideWhenUsed/>
    <w:qFormat/>
    <w:rsid w:val="009872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48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1A480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4803"/>
    <w:rPr>
      <w:rFonts w:ascii="Times New Roman" w:eastAsia="Times New Roman" w:hAnsi="Times New Roman" w:cs="Times New Roman"/>
      <w:b/>
      <w:bCs/>
      <w:sz w:val="27"/>
      <w:szCs w:val="27"/>
    </w:rPr>
  </w:style>
  <w:style w:type="paragraph" w:styleId="NormalWeb">
    <w:name w:val="Normal (Web)"/>
    <w:basedOn w:val="Normal"/>
    <w:uiPriority w:val="99"/>
    <w:unhideWhenUsed/>
    <w:rsid w:val="001A4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1A4803"/>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1A4803"/>
    <w:rPr>
      <w:color w:val="0000FF"/>
      <w:u w:val="single"/>
    </w:rPr>
  </w:style>
  <w:style w:type="character" w:styleId="Strong">
    <w:name w:val="Strong"/>
    <w:basedOn w:val="DefaultParagraphFont"/>
    <w:uiPriority w:val="22"/>
    <w:qFormat/>
    <w:rsid w:val="001A4803"/>
    <w:rPr>
      <w:b/>
      <w:bCs/>
    </w:rPr>
  </w:style>
  <w:style w:type="character" w:customStyle="1" w:styleId="apple-converted-space">
    <w:name w:val="apple-converted-space"/>
    <w:basedOn w:val="DefaultParagraphFont"/>
    <w:rsid w:val="001A4803"/>
  </w:style>
  <w:style w:type="paragraph" w:styleId="ListParagraph">
    <w:name w:val="List Paragraph"/>
    <w:basedOn w:val="Normal"/>
    <w:uiPriority w:val="34"/>
    <w:qFormat/>
    <w:rsid w:val="009872D6"/>
    <w:pPr>
      <w:ind w:left="720"/>
      <w:contextualSpacing/>
    </w:pPr>
  </w:style>
  <w:style w:type="character" w:customStyle="1" w:styleId="Heading2Char">
    <w:name w:val="Heading 2 Char"/>
    <w:basedOn w:val="DefaultParagraphFont"/>
    <w:link w:val="Heading2"/>
    <w:uiPriority w:val="9"/>
    <w:semiHidden/>
    <w:rsid w:val="009872D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9872D6"/>
  </w:style>
  <w:style w:type="paragraph" w:styleId="BalloonText">
    <w:name w:val="Balloon Text"/>
    <w:basedOn w:val="Normal"/>
    <w:link w:val="BalloonTextChar"/>
    <w:uiPriority w:val="99"/>
    <w:semiHidden/>
    <w:unhideWhenUsed/>
    <w:rsid w:val="0009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1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652663">
      <w:bodyDiv w:val="1"/>
      <w:marLeft w:val="0"/>
      <w:marRight w:val="0"/>
      <w:marTop w:val="0"/>
      <w:marBottom w:val="0"/>
      <w:divBdr>
        <w:top w:val="none" w:sz="0" w:space="0" w:color="auto"/>
        <w:left w:val="none" w:sz="0" w:space="0" w:color="auto"/>
        <w:bottom w:val="none" w:sz="0" w:space="0" w:color="auto"/>
        <w:right w:val="none" w:sz="0" w:space="0" w:color="auto"/>
      </w:divBdr>
    </w:div>
    <w:div w:id="487869003">
      <w:bodyDiv w:val="1"/>
      <w:marLeft w:val="0"/>
      <w:marRight w:val="0"/>
      <w:marTop w:val="0"/>
      <w:marBottom w:val="0"/>
      <w:divBdr>
        <w:top w:val="none" w:sz="0" w:space="0" w:color="auto"/>
        <w:left w:val="none" w:sz="0" w:space="0" w:color="auto"/>
        <w:bottom w:val="none" w:sz="0" w:space="0" w:color="auto"/>
        <w:right w:val="none" w:sz="0" w:space="0" w:color="auto"/>
      </w:divBdr>
    </w:div>
    <w:div w:id="765610323">
      <w:bodyDiv w:val="1"/>
      <w:marLeft w:val="0"/>
      <w:marRight w:val="0"/>
      <w:marTop w:val="0"/>
      <w:marBottom w:val="0"/>
      <w:divBdr>
        <w:top w:val="none" w:sz="0" w:space="0" w:color="auto"/>
        <w:left w:val="none" w:sz="0" w:space="0" w:color="auto"/>
        <w:bottom w:val="none" w:sz="0" w:space="0" w:color="auto"/>
        <w:right w:val="none" w:sz="0" w:space="0" w:color="auto"/>
      </w:divBdr>
    </w:div>
    <w:div w:id="1065378599">
      <w:bodyDiv w:val="1"/>
      <w:marLeft w:val="0"/>
      <w:marRight w:val="0"/>
      <w:marTop w:val="0"/>
      <w:marBottom w:val="0"/>
      <w:divBdr>
        <w:top w:val="none" w:sz="0" w:space="0" w:color="auto"/>
        <w:left w:val="none" w:sz="0" w:space="0" w:color="auto"/>
        <w:bottom w:val="none" w:sz="0" w:space="0" w:color="auto"/>
        <w:right w:val="none" w:sz="0" w:space="0" w:color="auto"/>
      </w:divBdr>
    </w:div>
    <w:div w:id="1065764483">
      <w:bodyDiv w:val="1"/>
      <w:marLeft w:val="0"/>
      <w:marRight w:val="0"/>
      <w:marTop w:val="0"/>
      <w:marBottom w:val="0"/>
      <w:divBdr>
        <w:top w:val="none" w:sz="0" w:space="0" w:color="auto"/>
        <w:left w:val="none" w:sz="0" w:space="0" w:color="auto"/>
        <w:bottom w:val="none" w:sz="0" w:space="0" w:color="auto"/>
        <w:right w:val="none" w:sz="0" w:space="0" w:color="auto"/>
      </w:divBdr>
    </w:div>
    <w:div w:id="1267543423">
      <w:bodyDiv w:val="1"/>
      <w:marLeft w:val="0"/>
      <w:marRight w:val="0"/>
      <w:marTop w:val="0"/>
      <w:marBottom w:val="0"/>
      <w:divBdr>
        <w:top w:val="none" w:sz="0" w:space="0" w:color="auto"/>
        <w:left w:val="none" w:sz="0" w:space="0" w:color="auto"/>
        <w:bottom w:val="none" w:sz="0" w:space="0" w:color="auto"/>
        <w:right w:val="none" w:sz="0" w:space="0" w:color="auto"/>
      </w:divBdr>
    </w:div>
    <w:div w:id="1477138001">
      <w:bodyDiv w:val="1"/>
      <w:marLeft w:val="0"/>
      <w:marRight w:val="0"/>
      <w:marTop w:val="0"/>
      <w:marBottom w:val="0"/>
      <w:divBdr>
        <w:top w:val="none" w:sz="0" w:space="0" w:color="auto"/>
        <w:left w:val="none" w:sz="0" w:space="0" w:color="auto"/>
        <w:bottom w:val="none" w:sz="0" w:space="0" w:color="auto"/>
        <w:right w:val="none" w:sz="0" w:space="0" w:color="auto"/>
      </w:divBdr>
    </w:div>
    <w:div w:id="196896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equilibr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veloping_country" TargetMode="External"/><Relationship Id="rId12" Type="http://schemas.openxmlformats.org/officeDocument/2006/relationships/hyperlink" Target="https://en.wikipedia.org/wiki/Defla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f.org/external/np/sec/memdir/members.htm" TargetMode="External"/><Relationship Id="rId11" Type="http://schemas.openxmlformats.org/officeDocument/2006/relationships/hyperlink" Target="https://en.wikipedia.org/wiki/Terms_of_trade" TargetMode="External"/><Relationship Id="rId5" Type="http://schemas.openxmlformats.org/officeDocument/2006/relationships/image" Target="media/image1.png"/><Relationship Id="rId10" Type="http://schemas.openxmlformats.org/officeDocument/2006/relationships/hyperlink" Target="https://en.wikipedia.org/wiki/1973_oil_crisis" TargetMode="External"/><Relationship Id="rId4" Type="http://schemas.openxmlformats.org/officeDocument/2006/relationships/webSettings" Target="webSettings.xml"/><Relationship Id="rId9" Type="http://schemas.openxmlformats.org/officeDocument/2006/relationships/hyperlink" Target="https://en.wikipedia.org/wiki/United_Nations_Conference_on_Trade_and_Develop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4</cp:revision>
  <dcterms:created xsi:type="dcterms:W3CDTF">2016-09-09T04:15:00Z</dcterms:created>
  <dcterms:modified xsi:type="dcterms:W3CDTF">2016-09-09T16:00:00Z</dcterms:modified>
</cp:coreProperties>
</file>