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40" w:lineRule="auto"/>
      </w:pPr>
      <w:r>
        <w:rPr>
          <w:rFonts w:ascii="Calibri" w:hAnsi="Calibri"/>
          <w:b/>
          <w:sz w:val="60"/>
        </w:rPr>
        <w:t>Slide 1 — Problem &amp; Opportunity: From “skills library” to repeatable execution</w:t>
      </w:r>
    </w:p>
    <w:p>
      <w:pPr>
        <w:pStyle w:val="ListBullet"/>
        <w:spacing w:before="0" w:after="80" w:line="252" w:lineRule="auto"/>
      </w:pPr>
      <w:r>
        <w:rPr>
          <w:rFonts w:ascii="Calibri" w:hAnsi="Calibri"/>
          <w:sz w:val="36"/>
        </w:rPr>
        <w:t>AI research and engineering often lose time to setup, debugging, and infrastructure, not hypothesis testing.</w:t>
      </w:r>
    </w:p>
    <w:p>
      <w:pPr>
        <w:pStyle w:val="ListBullet"/>
        <w:spacing w:before="0" w:after="80" w:line="252" w:lineRule="auto"/>
      </w:pPr>
      <w:r>
        <w:rPr>
          <w:rFonts w:ascii="Calibri" w:hAnsi="Calibri"/>
          <w:sz w:val="36"/>
        </w:rPr>
        <w:t>The AI-research-SKILLs repository provides a modular library of expert “skills” spanning data → training → evaluation → deployment, but it’s still operator-heavy (CLI + prompt fluency).</w:t>
      </w:r>
    </w:p>
    <w:p>
      <w:pPr>
        <w:pStyle w:val="ListBullet"/>
        <w:spacing w:before="0" w:after="80" w:line="252" w:lineRule="auto"/>
      </w:pPr>
      <w:r>
        <w:rPr>
          <w:rFonts w:ascii="Calibri" w:hAnsi="Calibri"/>
          <w:sz w:val="36"/>
        </w:rPr>
        <w:t>Agentic workflows are AI-driven processes where autonomous agents reason, plan, use tools, and coordinate tasks with minimal human intervention.</w:t>
      </w:r>
    </w:p>
    <w:p>
      <w:pPr>
        <w:pStyle w:val="ListBullet"/>
        <w:spacing w:before="0" w:after="80" w:line="252" w:lineRule="auto"/>
      </w:pPr>
      <w:r>
        <w:rPr>
          <w:rFonts w:ascii="Calibri" w:hAnsi="Calibri"/>
          <w:sz w:val="36"/>
        </w:rPr>
        <w:t>Opportunity: convert “skills as knowledge” into “skills as click-to-run workflows” so non-technical users can execute safely and consistently.</w:t>
      </w:r>
    </w:p>
    <w:p>
      <w:pPr>
        <w:spacing w:before="200" w:after="40" w:line="240" w:lineRule="auto"/>
      </w:pPr>
      <w:r>
        <w:rPr>
          <w:rFonts w:ascii="Calibri" w:hAnsi="Calibri"/>
          <w:b/>
          <w:sz w:val="22"/>
        </w:rPr>
        <w:t>Sources: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sz w:val="20"/>
        </w:rPr>
        <w:t>https://github.com/Orchestra-Research/AI-research-SKILLs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sz w:val="20"/>
        </w:rPr>
        <w:t>https://www.ibm.com/think/topics/agentic-workflows</w:t>
      </w:r>
    </w:p>
    <w:p>
      <w:r>
        <w:br w:type="page"/>
      </w:r>
    </w:p>
    <w:p>
      <w:pPr>
        <w:spacing w:before="0" w:after="200" w:line="240" w:lineRule="auto"/>
      </w:pPr>
      <w:r>
        <w:rPr>
          <w:rFonts w:ascii="Calibri" w:hAnsi="Calibri"/>
          <w:b/>
          <w:sz w:val="60"/>
        </w:rPr>
        <w:t>Slide 2 — Solution: A lovable UI for agentic workflows (powered by Skills)</w:t>
      </w:r>
    </w:p>
    <w:p>
      <w:pPr>
        <w:pStyle w:val="ListBullet"/>
        <w:spacing w:before="0" w:after="80" w:line="252" w:lineRule="auto"/>
      </w:pPr>
      <w:r>
        <w:rPr>
          <w:rFonts w:ascii="Calibri" w:hAnsi="Calibri"/>
          <w:sz w:val="36"/>
        </w:rPr>
        <w:t>Web UI pattern: Persona (Student) → Agentic Workflow → Stage tabs + dropdowns → Submit → Outputs.</w:t>
      </w:r>
    </w:p>
    <w:p>
      <w:pPr>
        <w:pStyle w:val="ListBullet"/>
        <w:spacing w:before="0" w:after="80" w:line="252" w:lineRule="auto"/>
      </w:pPr>
      <w:r>
        <w:rPr>
          <w:rFonts w:ascii="Calibri" w:hAnsi="Calibri"/>
          <w:sz w:val="36"/>
        </w:rPr>
        <w:t>Run Modes (enforced): Validate-Only (Dry Run) → Test-Run (Smoke Run) → Full-Run (explicit escalation).</w:t>
      </w:r>
    </w:p>
    <w:p>
      <w:pPr>
        <w:pStyle w:val="ListBullet"/>
        <w:spacing w:before="0" w:after="80" w:line="252" w:lineRule="auto"/>
      </w:pPr>
      <w:r>
        <w:rPr>
          <w:rFonts w:ascii="Calibri" w:hAnsi="Calibri"/>
          <w:sz w:val="36"/>
        </w:rPr>
        <w:t>User Settings: select provider + store API key once (server-side). Workflows reference a secret reference (no retyping).</w:t>
      </w:r>
    </w:p>
    <w:p>
      <w:pPr>
        <w:pStyle w:val="ListBullet"/>
        <w:spacing w:before="0" w:after="80" w:line="252" w:lineRule="auto"/>
      </w:pPr>
      <w:r>
        <w:rPr>
          <w:rFonts w:ascii="Calibri" w:hAnsi="Calibri"/>
          <w:sz w:val="36"/>
        </w:rPr>
        <w:t>Security baseline: do not expose API keys in browsers; route model calls through your backend.</w:t>
      </w:r>
    </w:p>
    <w:p>
      <w:pPr>
        <w:pStyle w:val="ListBullet"/>
        <w:spacing w:before="0" w:after="80" w:line="252" w:lineRule="auto"/>
      </w:pPr>
      <w:r>
        <w:rPr>
          <w:rFonts w:ascii="Calibri" w:hAnsi="Calibri"/>
          <w:sz w:val="36"/>
        </w:rPr>
        <w:t>Provider-agnostic design: OpenAI / Anthropic / Gemini / DeepSeek (DeepSeek supports an OpenAI-compatible API style).</w:t>
      </w:r>
    </w:p>
    <w:p>
      <w:pPr>
        <w:spacing w:before="200" w:after="40" w:line="240" w:lineRule="auto"/>
      </w:pPr>
      <w:r>
        <w:rPr>
          <w:rFonts w:ascii="Calibri" w:hAnsi="Calibri"/>
          <w:b/>
          <w:sz w:val="22"/>
        </w:rPr>
        <w:t>Sources: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sz w:val="20"/>
        </w:rPr>
        <w:t>https://github.com/Orchestra-Research/AI-research-SKILLs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sz w:val="20"/>
        </w:rPr>
        <w:t>https://help.openai.com/en/articles/5112595-best-practices-for-api-key-safety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sz w:val="20"/>
        </w:rPr>
        <w:t>https://ai.google.dev/gemini-api/docs/api-key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sz w:val="20"/>
        </w:rPr>
        <w:t>https://api-docs.deepseek.com/</w:t>
      </w:r>
    </w:p>
    <w:p>
      <w:r>
        <w:br w:type="page"/>
      </w:r>
    </w:p>
    <w:p>
      <w:pPr>
        <w:spacing w:before="0" w:after="200" w:line="240" w:lineRule="auto"/>
      </w:pPr>
      <w:r>
        <w:rPr>
          <w:rFonts w:ascii="Calibri" w:hAnsi="Calibri"/>
          <w:b/>
          <w:sz w:val="60"/>
        </w:rPr>
        <w:t>Slide 3 — MVP Demo Flow &amp; USP vs “repo + Claude/Codex”</w:t>
      </w:r>
    </w:p>
    <w:p>
      <w:pPr>
        <w:pStyle w:val="ListBullet"/>
        <w:spacing w:before="0" w:after="80" w:line="252" w:lineRule="auto"/>
      </w:pPr>
      <w:r>
        <w:rPr>
          <w:rFonts w:ascii="Calibri" w:hAnsi="Calibri"/>
          <w:sz w:val="36"/>
        </w:rPr>
        <w:t>Demo (60 seconds): Clone repo → run Docker Compose → open UI → Settings (save key once) → Student workflow “Learn Agentic AI” → choose dropdowns + Run Mode → Submit → get notes + trace + next steps.</w:t>
      </w:r>
    </w:p>
    <w:p>
      <w:pPr>
        <w:pStyle w:val="ListBullet"/>
        <w:spacing w:before="0" w:after="80" w:line="252" w:lineRule="auto"/>
      </w:pPr>
      <w:r>
        <w:rPr>
          <w:rFonts w:ascii="Calibri" w:hAnsi="Calibri"/>
          <w:sz w:val="36"/>
        </w:rPr>
        <w:t>USP #1: radically lower activation energy — no terminal, no prompt engineering; anyone can operate.</w:t>
      </w:r>
    </w:p>
    <w:p>
      <w:pPr>
        <w:pStyle w:val="ListBullet"/>
        <w:spacing w:before="0" w:after="80" w:line="252" w:lineRule="auto"/>
      </w:pPr>
      <w:r>
        <w:rPr>
          <w:rFonts w:ascii="Calibri" w:hAnsi="Calibri"/>
          <w:sz w:val="36"/>
        </w:rPr>
        <w:t>USP #2: safety rails by default — Validate/Test/Full is a product guarantee that prevents accidental cost and improves first-run success.</w:t>
      </w:r>
    </w:p>
    <w:p>
      <w:pPr>
        <w:pStyle w:val="ListBullet"/>
        <w:spacing w:before="0" w:after="80" w:line="252" w:lineRule="auto"/>
      </w:pPr>
      <w:r>
        <w:rPr>
          <w:rFonts w:ascii="Calibri" w:hAnsi="Calibri"/>
          <w:sz w:val="36"/>
        </w:rPr>
        <w:t>USP #3: repeatability — same inputs and artifacts every time; easier collaboration and training.</w:t>
      </w:r>
    </w:p>
    <w:p>
      <w:pPr>
        <w:pStyle w:val="ListBullet"/>
        <w:spacing w:before="0" w:after="80" w:line="252" w:lineRule="auto"/>
      </w:pPr>
      <w:r>
        <w:rPr>
          <w:rFonts w:ascii="Calibri" w:hAnsi="Calibri"/>
          <w:sz w:val="36"/>
        </w:rPr>
        <w:t>USP #4: secure-by-design — backend-only key usage and centralized settings aligned with vendor guidance.</w:t>
      </w:r>
    </w:p>
    <w:p>
      <w:pPr>
        <w:spacing w:before="200" w:after="40" w:line="240" w:lineRule="auto"/>
      </w:pPr>
      <w:r>
        <w:rPr>
          <w:rFonts w:ascii="Calibri" w:hAnsi="Calibri"/>
          <w:b/>
          <w:sz w:val="22"/>
        </w:rPr>
        <w:t>Sources: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sz w:val="20"/>
        </w:rPr>
        <w:t>https://github.com/Orchestra-Research/AI-research-SKILLs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sz w:val="20"/>
        </w:rPr>
        <w:t>https://help.openai.com/en/articles/5112595-best-practices-for-api-key-safety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sz w:val="20"/>
        </w:rPr>
        <w:t>https://ai.google.dev/gemini-api/docs/api-key</w:t>
      </w:r>
    </w:p>
    <w:sectPr w:rsidR="00FC693F" w:rsidRPr="0006063C" w:rsidSect="00034616">
      <w:pgSz w:w="19195" w:h="10800" w:orient="landscape"/>
      <w:pgMar w:top="720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