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-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after="280"/>
      </w:pPr>
      <w:r>
        <w:rPr>
          <w:rFonts w:ascii="微软雅黑" w:hAnsi="微软雅黑" w:eastAsia="微软雅黑"/>
          <w:b/>
          <w:color w:val="B8892E"/>
          <w:sz w:val="17"/>
        </w:rPr>
        <w:t>DOCUMENT MAP</w:t>
      </w:r>
    </w:p>
    <w:p>
      <w:pPr>
        <w:spacing w:after="320"/>
      </w:pPr>
      <w:r>
        <w:rPr>
          <w:rFonts w:ascii="宋体" w:hAnsi="宋体" w:eastAsia="宋体"/>
          <w:b/>
          <w:color w:val="1B1D18"/>
          <w:sz w:val="54"/>
        </w:rPr>
        <w:t>技术方案 · 目录</w:t>
      </w:r>
    </w:p>
    <w:p>
      <w:pPr>
        <w:tabs>
          <w:tab w:pos="850" w:val="left"/>
          <w:tab w:pos="9524" w:val="right"/>
        </w:tabs>
        <w:spacing w:after="100"/>
      </w:pPr>
      <w:r>
        <w:rPr>
          <w:rFonts w:ascii="Georgia" w:hAnsi="Georgia" w:eastAsia="Georgia"/>
          <w:b/>
          <w:color w:val="B8892E"/>
          <w:sz w:val="17"/>
        </w:rPr>
        <w:t>00</w:t>
      </w:r>
      <w:r>
        <w:rPr>
          <w:rFonts w:ascii="微软雅黑" w:hAnsi="微软雅黑" w:eastAsia="微软雅黑"/>
          <w:color w:val="1B1D18"/>
          <w:sz w:val="20"/>
        </w:rPr>
        <w:tab/>
        <w:t>执行摘要</w:t>
      </w:r>
      <w:r>
        <w:rPr>
          <w:rFonts w:ascii="Georgia" w:hAnsi="Georgia" w:eastAsia="Georgia"/>
          <w:color w:val="6F7468"/>
          <w:sz w:val="18"/>
        </w:rPr>
        <w:tab/>
        <w:t>2</w:t>
      </w:r>
    </w:p>
    <w:p>
      <w:pPr>
        <w:tabs>
          <w:tab w:pos="850" w:val="left"/>
          <w:tab w:pos="9524" w:val="right"/>
        </w:tabs>
        <w:spacing w:after="100"/>
      </w:pPr>
      <w:r>
        <w:rPr>
          <w:rFonts w:ascii="Georgia" w:hAnsi="Georgia" w:eastAsia="Georgia"/>
          <w:b/>
          <w:color w:val="B8892E"/>
          <w:sz w:val="17"/>
        </w:rPr>
        <w:t>01</w:t>
      </w:r>
      <w:r>
        <w:rPr>
          <w:rFonts w:ascii="微软雅黑" w:hAnsi="微软雅黑" w:eastAsia="微软雅黑"/>
          <w:color w:val="1B1D18"/>
          <w:sz w:val="20"/>
        </w:rPr>
        <w:tab/>
        <w:t>现状与目标</w:t>
      </w:r>
      <w:r>
        <w:rPr>
          <w:rFonts w:ascii="Georgia" w:hAnsi="Georgia" w:eastAsia="Georgia"/>
          <w:color w:val="6F7468"/>
          <w:sz w:val="18"/>
        </w:rPr>
        <w:tab/>
        <w:t>3</w:t>
      </w:r>
    </w:p>
    <w:p>
      <w:pPr>
        <w:tabs>
          <w:tab w:pos="850" w:val="left"/>
          <w:tab w:pos="9524" w:val="right"/>
        </w:tabs>
        <w:spacing w:after="100"/>
      </w:pPr>
      <w:r>
        <w:rPr>
          <w:rFonts w:ascii="Georgia" w:hAnsi="Georgia" w:eastAsia="Georgia"/>
          <w:b/>
          <w:color w:val="B8892E"/>
          <w:sz w:val="17"/>
        </w:rPr>
        <w:t>02</w:t>
      </w:r>
      <w:r>
        <w:rPr>
          <w:rFonts w:ascii="微软雅黑" w:hAnsi="微软雅黑" w:eastAsia="微软雅黑"/>
          <w:color w:val="1B1D18"/>
          <w:sz w:val="20"/>
        </w:rPr>
        <w:tab/>
        <w:t>产品范围</w:t>
      </w:r>
      <w:r>
        <w:rPr>
          <w:rFonts w:ascii="Georgia" w:hAnsi="Georgia" w:eastAsia="Georgia"/>
          <w:color w:val="6F7468"/>
          <w:sz w:val="18"/>
        </w:rPr>
        <w:tab/>
        <w:t>5</w:t>
      </w:r>
    </w:p>
    <w:p>
      <w:pPr>
        <w:tabs>
          <w:tab w:pos="850" w:val="left"/>
          <w:tab w:pos="9524" w:val="right"/>
        </w:tabs>
        <w:spacing w:after="100"/>
      </w:pPr>
      <w:r>
        <w:rPr>
          <w:rFonts w:ascii="Georgia" w:hAnsi="Georgia" w:eastAsia="Georgia"/>
          <w:b/>
          <w:color w:val="B8892E"/>
          <w:sz w:val="17"/>
        </w:rPr>
        <w:t>03</w:t>
      </w:r>
      <w:r>
        <w:rPr>
          <w:rFonts w:ascii="微软雅黑" w:hAnsi="微软雅黑" w:eastAsia="微软雅黑"/>
          <w:color w:val="1B1D18"/>
          <w:sz w:val="20"/>
        </w:rPr>
        <w:tab/>
        <w:t>架构原则与选型</w:t>
      </w:r>
      <w:r>
        <w:rPr>
          <w:rFonts w:ascii="Georgia" w:hAnsi="Georgia" w:eastAsia="Georgia"/>
          <w:color w:val="6F7468"/>
          <w:sz w:val="18"/>
        </w:rPr>
        <w:tab/>
        <w:t>6</w:t>
      </w:r>
    </w:p>
    <w:p>
      <w:pPr>
        <w:tabs>
          <w:tab w:pos="850" w:val="left"/>
          <w:tab w:pos="9524" w:val="right"/>
        </w:tabs>
        <w:spacing w:after="100"/>
      </w:pPr>
      <w:r>
        <w:rPr>
          <w:rFonts w:ascii="Georgia" w:hAnsi="Georgia" w:eastAsia="Georgia"/>
          <w:b/>
          <w:color w:val="B8892E"/>
          <w:sz w:val="17"/>
        </w:rPr>
        <w:t>04</w:t>
      </w:r>
      <w:r>
        <w:rPr>
          <w:rFonts w:ascii="微软雅黑" w:hAnsi="微软雅黑" w:eastAsia="微软雅黑"/>
          <w:color w:val="1B1D18"/>
          <w:sz w:val="20"/>
        </w:rPr>
        <w:tab/>
        <w:t>目标架构</w:t>
      </w:r>
      <w:r>
        <w:rPr>
          <w:rFonts w:ascii="Georgia" w:hAnsi="Georgia" w:eastAsia="Georgia"/>
          <w:color w:val="6F7468"/>
          <w:sz w:val="18"/>
        </w:rPr>
        <w:tab/>
        <w:t>8</w:t>
      </w:r>
    </w:p>
    <w:p>
      <w:pPr>
        <w:tabs>
          <w:tab w:pos="850" w:val="left"/>
          <w:tab w:pos="9524" w:val="right"/>
        </w:tabs>
        <w:spacing w:after="100"/>
      </w:pPr>
      <w:r>
        <w:rPr>
          <w:rFonts w:ascii="Georgia" w:hAnsi="Georgia" w:eastAsia="Georgia"/>
          <w:b/>
          <w:color w:val="B8892E"/>
          <w:sz w:val="17"/>
        </w:rPr>
        <w:t>05</w:t>
      </w:r>
      <w:r>
        <w:rPr>
          <w:rFonts w:ascii="微软雅黑" w:hAnsi="微软雅黑" w:eastAsia="微软雅黑"/>
          <w:color w:val="1B1D18"/>
          <w:sz w:val="20"/>
        </w:rPr>
        <w:tab/>
        <w:t>技术栈</w:t>
      </w:r>
      <w:r>
        <w:rPr>
          <w:rFonts w:ascii="Georgia" w:hAnsi="Georgia" w:eastAsia="Georgia"/>
          <w:color w:val="6F7468"/>
          <w:sz w:val="18"/>
        </w:rPr>
        <w:tab/>
        <w:t>11</w:t>
      </w:r>
    </w:p>
    <w:p>
      <w:pPr>
        <w:tabs>
          <w:tab w:pos="850" w:val="left"/>
          <w:tab w:pos="9524" w:val="right"/>
        </w:tabs>
        <w:spacing w:after="100"/>
      </w:pPr>
      <w:r>
        <w:rPr>
          <w:rFonts w:ascii="Georgia" w:hAnsi="Georgia" w:eastAsia="Georgia"/>
          <w:b/>
          <w:color w:val="B8892E"/>
          <w:sz w:val="17"/>
        </w:rPr>
        <w:t>06</w:t>
      </w:r>
      <w:r>
        <w:rPr>
          <w:rFonts w:ascii="微软雅黑" w:hAnsi="微软雅黑" w:eastAsia="微软雅黑"/>
          <w:color w:val="1B1D18"/>
          <w:sz w:val="20"/>
        </w:rPr>
        <w:tab/>
        <w:t>数据架构</w:t>
      </w:r>
      <w:r>
        <w:rPr>
          <w:rFonts w:ascii="Georgia" w:hAnsi="Georgia" w:eastAsia="Georgia"/>
          <w:color w:val="6F7468"/>
          <w:sz w:val="18"/>
        </w:rPr>
        <w:tab/>
        <w:t>13</w:t>
      </w:r>
    </w:p>
    <w:p>
      <w:pPr>
        <w:tabs>
          <w:tab w:pos="850" w:val="left"/>
          <w:tab w:pos="9524" w:val="right"/>
        </w:tabs>
        <w:spacing w:after="100"/>
      </w:pPr>
      <w:r>
        <w:rPr>
          <w:rFonts w:ascii="Georgia" w:hAnsi="Georgia" w:eastAsia="Georgia"/>
          <w:b/>
          <w:color w:val="B8892E"/>
          <w:sz w:val="17"/>
        </w:rPr>
        <w:t>07</w:t>
      </w:r>
      <w:r>
        <w:rPr>
          <w:rFonts w:ascii="微软雅黑" w:hAnsi="微软雅黑" w:eastAsia="微软雅黑"/>
          <w:color w:val="1B1D18"/>
          <w:sz w:val="20"/>
        </w:rPr>
        <w:tab/>
        <w:t>领域核心</w:t>
      </w:r>
      <w:r>
        <w:rPr>
          <w:rFonts w:ascii="Georgia" w:hAnsi="Georgia" w:eastAsia="Georgia"/>
          <w:color w:val="6F7468"/>
          <w:sz w:val="18"/>
        </w:rPr>
        <w:tab/>
        <w:t>16</w:t>
      </w:r>
    </w:p>
    <w:p>
      <w:pPr>
        <w:tabs>
          <w:tab w:pos="850" w:val="left"/>
          <w:tab w:pos="9524" w:val="right"/>
        </w:tabs>
        <w:spacing w:after="100"/>
      </w:pPr>
      <w:r>
        <w:rPr>
          <w:rFonts w:ascii="Georgia" w:hAnsi="Georgia" w:eastAsia="Georgia"/>
          <w:b/>
          <w:color w:val="B8892E"/>
          <w:sz w:val="17"/>
        </w:rPr>
        <w:t>08</w:t>
      </w:r>
      <w:r>
        <w:rPr>
          <w:rFonts w:ascii="微软雅黑" w:hAnsi="微软雅黑" w:eastAsia="微软雅黑"/>
          <w:color w:val="1B1D18"/>
          <w:sz w:val="20"/>
        </w:rPr>
        <w:tab/>
        <w:t>API 与集成</w:t>
      </w:r>
      <w:r>
        <w:rPr>
          <w:rFonts w:ascii="Georgia" w:hAnsi="Georgia" w:eastAsia="Georgia"/>
          <w:color w:val="6F7468"/>
          <w:sz w:val="18"/>
        </w:rPr>
        <w:tab/>
        <w:t>18</w:t>
      </w:r>
    </w:p>
    <w:p>
      <w:pPr>
        <w:tabs>
          <w:tab w:pos="850" w:val="left"/>
          <w:tab w:pos="9524" w:val="right"/>
        </w:tabs>
        <w:spacing w:after="100"/>
      </w:pPr>
      <w:r>
        <w:rPr>
          <w:rFonts w:ascii="Georgia" w:hAnsi="Georgia" w:eastAsia="Georgia"/>
          <w:b/>
          <w:color w:val="B8892E"/>
          <w:sz w:val="17"/>
        </w:rPr>
        <w:t>09</w:t>
      </w:r>
      <w:r>
        <w:rPr>
          <w:rFonts w:ascii="微软雅黑" w:hAnsi="微软雅黑" w:eastAsia="微软雅黑"/>
          <w:color w:val="1B1D18"/>
          <w:sz w:val="20"/>
        </w:rPr>
        <w:tab/>
        <w:t>前端与体验</w:t>
      </w:r>
      <w:r>
        <w:rPr>
          <w:rFonts w:ascii="Georgia" w:hAnsi="Georgia" w:eastAsia="Georgia"/>
          <w:color w:val="6F7468"/>
          <w:sz w:val="18"/>
        </w:rPr>
        <w:tab/>
        <w:t>21</w:t>
      </w:r>
    </w:p>
    <w:p>
      <w:pPr>
        <w:tabs>
          <w:tab w:pos="850" w:val="left"/>
          <w:tab w:pos="9524" w:val="right"/>
        </w:tabs>
        <w:spacing w:after="100"/>
      </w:pPr>
      <w:r>
        <w:rPr>
          <w:rFonts w:ascii="Georgia" w:hAnsi="Georgia" w:eastAsia="Georgia"/>
          <w:b/>
          <w:color w:val="B8892E"/>
          <w:sz w:val="17"/>
        </w:rPr>
        <w:t>10</w:t>
      </w:r>
      <w:r>
        <w:rPr>
          <w:rFonts w:ascii="微软雅黑" w:hAnsi="微软雅黑" w:eastAsia="微软雅黑"/>
          <w:color w:val="1B1D18"/>
          <w:sz w:val="20"/>
        </w:rPr>
        <w:tab/>
        <w:t>Dealer 网络</w:t>
      </w:r>
      <w:r>
        <w:rPr>
          <w:rFonts w:ascii="Georgia" w:hAnsi="Georgia" w:eastAsia="Georgia"/>
          <w:color w:val="6F7468"/>
          <w:sz w:val="18"/>
        </w:rPr>
        <w:tab/>
        <w:t>24</w:t>
      </w:r>
    </w:p>
    <w:p>
      <w:pPr>
        <w:tabs>
          <w:tab w:pos="850" w:val="left"/>
          <w:tab w:pos="9524" w:val="right"/>
        </w:tabs>
        <w:spacing w:after="100"/>
      </w:pPr>
      <w:r>
        <w:rPr>
          <w:rFonts w:ascii="Georgia" w:hAnsi="Georgia" w:eastAsia="Georgia"/>
          <w:b/>
          <w:color w:val="B8892E"/>
          <w:sz w:val="17"/>
        </w:rPr>
        <w:t>11</w:t>
      </w:r>
      <w:r>
        <w:rPr>
          <w:rFonts w:ascii="微软雅黑" w:hAnsi="微软雅黑" w:eastAsia="微软雅黑"/>
          <w:color w:val="1B1D18"/>
          <w:sz w:val="20"/>
        </w:rPr>
        <w:tab/>
        <w:t>账户、同步、提醒与订阅</w:t>
      </w:r>
      <w:r>
        <w:rPr>
          <w:rFonts w:ascii="Georgia" w:hAnsi="Georgia" w:eastAsia="Georgia"/>
          <w:color w:val="6F7468"/>
          <w:sz w:val="18"/>
        </w:rPr>
        <w:tab/>
        <w:t>27</w:t>
      </w:r>
    </w:p>
    <w:p>
      <w:pPr>
        <w:tabs>
          <w:tab w:pos="850" w:val="left"/>
          <w:tab w:pos="9524" w:val="right"/>
        </w:tabs>
        <w:spacing w:after="100"/>
      </w:pPr>
      <w:r>
        <w:rPr>
          <w:rFonts w:ascii="Georgia" w:hAnsi="Georgia" w:eastAsia="Georgia"/>
          <w:b/>
          <w:color w:val="B8892E"/>
          <w:sz w:val="17"/>
        </w:rPr>
        <w:t>12</w:t>
      </w:r>
      <w:r>
        <w:rPr>
          <w:rFonts w:ascii="微软雅黑" w:hAnsi="微软雅黑" w:eastAsia="微软雅黑"/>
          <w:color w:val="1B1D18"/>
          <w:sz w:val="20"/>
        </w:rPr>
        <w:tab/>
        <w:t>安全、合规与运维</w:t>
      </w:r>
      <w:r>
        <w:rPr>
          <w:rFonts w:ascii="Georgia" w:hAnsi="Georgia" w:eastAsia="Georgia"/>
          <w:color w:val="6F7468"/>
          <w:sz w:val="18"/>
        </w:rPr>
        <w:tab/>
        <w:t>28</w:t>
      </w:r>
    </w:p>
    <w:p>
      <w:pPr>
        <w:tabs>
          <w:tab w:pos="850" w:val="left"/>
          <w:tab w:pos="9524" w:val="right"/>
        </w:tabs>
        <w:spacing w:after="100"/>
      </w:pPr>
      <w:r>
        <w:rPr>
          <w:rFonts w:ascii="Georgia" w:hAnsi="Georgia" w:eastAsia="Georgia"/>
          <w:b/>
          <w:color w:val="B8892E"/>
          <w:sz w:val="17"/>
        </w:rPr>
        <w:t>13</w:t>
      </w:r>
      <w:r>
        <w:rPr>
          <w:rFonts w:ascii="微软雅黑" w:hAnsi="微软雅黑" w:eastAsia="微软雅黑"/>
          <w:color w:val="1B1D18"/>
          <w:sz w:val="20"/>
        </w:rPr>
        <w:tab/>
        <w:t>测试与发布</w:t>
      </w:r>
      <w:r>
        <w:rPr>
          <w:rFonts w:ascii="Georgia" w:hAnsi="Georgia" w:eastAsia="Georgia"/>
          <w:color w:val="6F7468"/>
          <w:sz w:val="18"/>
        </w:rPr>
        <w:tab/>
        <w:t>30</w:t>
      </w:r>
    </w:p>
    <w:p>
      <w:pPr>
        <w:tabs>
          <w:tab w:pos="850" w:val="left"/>
          <w:tab w:pos="9524" w:val="right"/>
        </w:tabs>
        <w:spacing w:after="100"/>
      </w:pPr>
      <w:r>
        <w:rPr>
          <w:rFonts w:ascii="Georgia" w:hAnsi="Georgia" w:eastAsia="Georgia"/>
          <w:b/>
          <w:color w:val="B8892E"/>
          <w:sz w:val="17"/>
        </w:rPr>
        <w:t>14</w:t>
      </w:r>
      <w:r>
        <w:rPr>
          <w:rFonts w:ascii="微软雅黑" w:hAnsi="微软雅黑" w:eastAsia="微软雅黑"/>
          <w:color w:val="1B1D18"/>
          <w:sz w:val="20"/>
        </w:rPr>
        <w:tab/>
        <w:t>迁移与路线图</w:t>
      </w:r>
      <w:r>
        <w:rPr>
          <w:rFonts w:ascii="Georgia" w:hAnsi="Georgia" w:eastAsia="Georgia"/>
          <w:color w:val="6F7468"/>
          <w:sz w:val="18"/>
        </w:rPr>
        <w:tab/>
        <w:t>32</w:t>
      </w:r>
    </w:p>
    <w:p>
      <w:pPr>
        <w:tabs>
          <w:tab w:pos="850" w:val="left"/>
          <w:tab w:pos="9524" w:val="right"/>
        </w:tabs>
        <w:spacing w:after="100"/>
      </w:pPr>
      <w:r>
        <w:rPr>
          <w:rFonts w:ascii="Georgia" w:hAnsi="Georgia" w:eastAsia="Georgia"/>
          <w:b/>
          <w:color w:val="B8892E"/>
          <w:sz w:val="17"/>
        </w:rPr>
        <w:t>A</w:t>
      </w:r>
      <w:r>
        <w:rPr>
          <w:rFonts w:ascii="微软雅黑" w:hAnsi="微软雅黑" w:eastAsia="微软雅黑"/>
          <w:color w:val="1B1D18"/>
          <w:sz w:val="20"/>
        </w:rPr>
        <w:tab/>
        <w:t>附录</w:t>
      </w:r>
      <w:r>
        <w:rPr>
          <w:rFonts w:ascii="Georgia" w:hAnsi="Georgia" w:eastAsia="Georgia"/>
          <w:color w:val="6F7468"/>
          <w:sz w:val="18"/>
        </w:rPr>
        <w:tab/>
        <w:t>34</w:t>
      </w:r>
    </w:p>
    <w:p>
      <w:pPr>
        <w:spacing w:before="440" w:after="40"/>
      </w:pPr>
      <w:r>
        <w:rPr>
          <w:rFonts w:ascii="微软雅黑" w:hAnsi="微软雅黑" w:eastAsia="微软雅黑"/>
          <w:b/>
          <w:color w:val="B8892E"/>
          <w:sz w:val="16"/>
        </w:rPr>
        <w:t>阅读说明</w:t>
      </w:r>
    </w:p>
    <w:p>
      <w:pPr>
        <w:spacing w:after="40" w:line="360" w:lineRule="auto"/>
      </w:pPr>
      <w:r>
        <w:rPr>
          <w:rFonts w:ascii="微软雅黑" w:hAnsi="微软雅黑" w:eastAsia="微软雅黑"/>
          <w:color w:val="6F7468"/>
          <w:sz w:val="17"/>
        </w:rPr>
        <w:t>本方案面向创始人、工程与设计团队，描述从当前 MVP 到生产级 GoldLens 2.0 的目标架构、数据模型、体验规范与 18 周交付路线。所有时间与成本为显式假设，不是承诺；上线前需完成数据授权、隐私与本地合规审查。</w:t>
      </w:r>
    </w:p>
    <w:p>
      <w:r>
        <w:br w:type="page"/>
      </w:r>
    </w:p>
    <w:p>
      <w:pPr>
        <w:keepNext/>
        <w:spacing w:before="360" w:after="20"/>
      </w:pPr>
      <w:r>
        <w:rPr>
          <w:rFonts w:ascii="Georgia" w:hAnsi="Georgia" w:eastAsia="Georgia"/>
          <w:b/>
          <w:color w:val="B8892E"/>
          <w:sz w:val="19"/>
        </w:rPr>
        <w:t>00</w:t>
      </w:r>
    </w:p>
    <w:p>
      <w:pPr>
        <w:keepNext/>
        <w:spacing w:before="0" w:after="40"/>
      </w:pPr>
      <w:r>
        <w:rPr>
          <w:rFonts w:ascii="宋体" w:hAnsi="宋体" w:eastAsia="宋体"/>
          <w:b/>
          <w:color w:val="1B1D18"/>
          <w:sz w:val="46"/>
        </w:rPr>
        <w:t>执行摘要</w:t>
      </w:r>
    </w:p>
    <w:p>
      <w:pPr>
        <w:keepNext/>
        <w:spacing w:after="200"/>
        <w:pBdr>
          <w:bottom w:val="single" w:sz="6" w:space="8" w:color="B8892E"/>
        </w:pBdr>
      </w:pPr>
      <w:r>
        <w:rPr>
          <w:rFonts w:ascii="微软雅黑" w:hAnsi="微软雅黑" w:eastAsia="微软雅黑"/>
          <w:color w:val="6F7468"/>
          <w:sz w:val="19"/>
        </w:rPr>
        <w:t>不是把页面做漂亮，而是把身份、数据、报价网络和运维补齐。</w:t>
      </w:r>
    </w:p>
    <w:p>
      <w:pPr>
        <w:spacing w:before="160" w:after="160"/>
        <w:ind w:left="227"/>
      </w:pPr>
      <w:r>
        <w:rPr>
          <w:rFonts w:ascii="宋体" w:hAnsi="宋体" w:eastAsia="宋体"/>
          <w:b/>
          <w:color w:val="B8892E"/>
          <w:sz w:val="36"/>
        </w:rPr>
        <w:t>MVP 是一个好用的计算器；GoldLens 2.0 要成为一个可信的决策平台。</w:t>
      </w:r>
    </w:p>
    <w:p>
      <w:pPr>
        <w:spacing w:after="100" w:line="341" w:lineRule="auto"/>
      </w:pPr>
      <w:r>
        <w:rPr>
          <w:rFonts w:ascii="微软雅黑" w:hAnsi="微软雅黑" w:eastAsia="微软雅黑"/>
          <w:color w:val="1B1D18"/>
          <w:sz w:val="20"/>
        </w:rPr>
        <w:t>当前 MVP 已经验证了三件事：用户愿意算“到手价—回购价—回本点”；泰国 GTA 的本地数据可以形成差异化；深色黄金视觉和移动端体验能承载“安静的高客单”气质。但它仍然是一个单页工具：没有账户、没有数据库、没有门店报价网络、没有后台、没有支付、没有可观测性。它能在演示里打动人，却不能在真实用户的生活里持续工作。</w:t>
      </w:r>
    </w:p>
    <w:p>
      <w:pPr>
        <w:spacing w:after="100" w:line="341" w:lineRule="auto"/>
      </w:pPr>
      <w:r>
        <w:rPr>
          <w:rFonts w:ascii="微软雅黑" w:hAnsi="微软雅黑" w:eastAsia="微软雅黑"/>
          <w:color w:val="1B1D18"/>
          <w:sz w:val="20"/>
        </w:rPr>
        <w:t>这份方案给出的不是一次“前端重写”，而是一次有边界的平台化：保留计算引擎、数据降级策略和设计语言；替换运行时、存储、身份、数据层与运营能力；用 18 周、3.5 个 FTE，把 MVP 推进到可公开运营的 V1。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411"/>
            <w:shd w:fill="F3EBD8"/>
            <w:tcBorders>
              <w:top w:val="single" w:sz="6" w:space="0" w:color="D9C48F"/>
              <w:left w:val="single" w:sz="6" w:space="0" w:color="D9C48F"/>
              <w:bottom w:val="single" w:sz="6" w:space="0" w:color="D9C48F"/>
              <w:right w:val="single" w:sz="6" w:space="0" w:color="D9C48F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B8892E"/>
                <w:sz w:val="15"/>
              </w:rPr>
              <w:t>本轮结论</w:t>
            </w:r>
          </w:p>
          <w:p>
            <w:pPr>
              <w:spacing w:after="0" w:line="336" w:lineRule="auto"/>
            </w:pPr>
            <w:r>
              <w:rPr>
                <w:rFonts w:ascii="微软雅黑" w:hAnsi="微软雅黑" w:eastAsia="微软雅黑"/>
                <w:color w:val="1B1D18"/>
                <w:sz w:val="19"/>
              </w:rPr>
              <w:t>采用“Next.js 模块化单体 + 独立数据 worker + PostgreSQL/Redis/Queue”的架构。先支撑 1–10 万 MAU，不提前拆微服务；把计算引擎抽成纯 TypeScript 包；把价格快照和门店报价做成可追溯的数据资产；把“无托管、无交易、无投资建议”作为产品边界。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0.1  </w:t>
      </w:r>
      <w:r>
        <w:rPr>
          <w:rFonts w:ascii="微软雅黑" w:hAnsi="微软雅黑" w:eastAsia="微软雅黑"/>
          <w:b/>
          <w:color w:val="1B1D18"/>
          <w:sz w:val="24"/>
        </w:rPr>
        <w:t>六个关键决策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0-1 · 本方案的核心决策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2835"/>
        <w:gridCol w:w="2835"/>
        <w:gridCol w:w="2494"/>
      </w:tblGrid>
      <w:tr>
        <w:trPr>
          <w:cantSplit/>
          <w:tblHeader/>
          <w:keepNext/>
        </w:trPr>
        <w:tc>
          <w:tcPr>
            <w:tcW w:type="dxa" w:w="1247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决策</w:t>
            </w:r>
          </w:p>
        </w:tc>
        <w:tc>
          <w:tcPr>
            <w:tcW w:type="dxa" w:w="2835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选择</w:t>
            </w:r>
          </w:p>
        </w:tc>
        <w:tc>
          <w:tcPr>
            <w:tcW w:type="dxa" w:w="2835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理由</w:t>
            </w:r>
          </w:p>
        </w:tc>
        <w:tc>
          <w:tcPr>
            <w:tcW w:type="dxa" w:w="249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不这样做的代价</w:t>
            </w:r>
          </w:p>
        </w:tc>
      </w:tr>
      <w:tr>
        <w:trPr>
          <w:cantSplit/>
          <w:keepNext/>
        </w:trPr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架构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模块化单体 + worker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团队小、领域耦合强、上线快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微服务会先制造运维复杂度</w:t>
            </w:r>
          </w:p>
        </w:tc>
      </w:tr>
      <w:tr>
        <w:trPr>
          <w:cantSplit/>
          <w:keepNext/>
        </w:trPr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前端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Next.js 16 App Router + RSC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SEO、性能、BFF、预览部署一体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纯 SPA 会丢失搜索入口与首屏</w:t>
            </w:r>
          </w:p>
        </w:tc>
      </w:tr>
      <w:tr>
        <w:trPr>
          <w:cantSplit/>
          <w:keepNext/>
        </w:trPr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数据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PostgreSQL + Drizzle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关系、事务、时间序列、可迁移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Mongo/JSON 会让报价与账目难审计</w:t>
            </w:r>
          </w:p>
        </w:tc>
      </w:tr>
      <w:tr>
        <w:trPr>
          <w:cantSplit/>
          <w:keepNext/>
        </w:trPr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领域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@goldlens/core 纯函数包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计算可测试、可复用、可版本化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公式散落在 UI 里，迟早算错</w:t>
            </w:r>
          </w:p>
        </w:tc>
      </w:tr>
      <w:tr>
        <w:trPr>
          <w:cantSplit/>
          <w:keepNext/>
        </w:trPr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同步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本地优先 + 云端账户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离线可用、登录不阻塞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纯云端会让弱网用户流失</w:t>
            </w:r>
          </w:p>
        </w:tc>
      </w:tr>
      <w:tr>
        <w:trPr>
          <w:cantSplit/>
        </w:trPr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边界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不托管、不交易、不预测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降低监管与信任成本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一旦碰钱，合规与运营复杂度指数级上升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0.2  </w:t>
      </w:r>
      <w:r>
        <w:rPr>
          <w:rFonts w:ascii="微软雅黑" w:hAnsi="微软雅黑" w:eastAsia="微软雅黑"/>
          <w:b/>
          <w:color w:val="1B1D18"/>
          <w:sz w:val="24"/>
        </w:rPr>
        <w:t>成功度量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0-2 · V1 的六个硬指标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969"/>
        <w:gridCol w:w="1814"/>
        <w:gridCol w:w="2154"/>
      </w:tblGrid>
      <w:tr>
        <w:trPr>
          <w:cantSplit/>
          <w:tblHeader/>
          <w:keepNext/>
        </w:trPr>
        <w:tc>
          <w:tcPr>
            <w:tcW w:type="dxa" w:w="147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指标</w:t>
            </w:r>
          </w:p>
        </w:tc>
        <w:tc>
          <w:tcPr>
            <w:tcW w:type="dxa" w:w="3969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定义</w:t>
            </w:r>
          </w:p>
        </w:tc>
        <w:tc>
          <w:tcPr>
            <w:tcW w:type="dxa" w:w="181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V1 目标</w:t>
            </w:r>
          </w:p>
        </w:tc>
        <w:tc>
          <w:tcPr>
            <w:tcW w:type="dxa" w:w="215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观测方式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激活率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完成一次有效计算 / 新访客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≥ 45%</w:t>
            </w:r>
          </w:p>
        </w:tc>
        <w:tc>
          <w:tcPr>
            <w:tcW w:type="dxa" w:w="215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PostHog funnel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比较率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查看至少 2 个市场或 2 个报价 / 计算用户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≥ 25%</w:t>
            </w:r>
          </w:p>
        </w:tc>
        <w:tc>
          <w:tcPr>
            <w:tcW w:type="dxa" w:w="215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产品事件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报价请求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提交 quote request / 月活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≥ 6%</w:t>
            </w:r>
          </w:p>
        </w:tc>
        <w:tc>
          <w:tcPr>
            <w:tcW w:type="dxa" w:w="215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API + CRM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Dealer 响应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24h 内有效报价 / 请求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≥ 70%</w:t>
            </w:r>
          </w:p>
        </w:tc>
        <w:tc>
          <w:tcPr>
            <w:tcW w:type="dxa" w:w="215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Quote service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订阅转化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Pro 付费 / 月活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≥ 1.5%</w:t>
            </w:r>
          </w:p>
        </w:tc>
        <w:tc>
          <w:tcPr>
            <w:tcW w:type="dxa" w:w="215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Stripe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D30 留存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30 天内再次查价或持仓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≥ 18%</w:t>
            </w:r>
          </w:p>
        </w:tc>
        <w:tc>
          <w:tcPr>
            <w:tcW w:type="dxa" w:w="215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 xml:space="preserve"> cohort</w:t>
            </w:r>
          </w:p>
        </w:tc>
      </w:tr>
    </w:tbl>
    <w:p>
      <w:pPr>
        <w:spacing w:after="20"/>
      </w:pPr>
    </w:p>
    <w:p>
      <w:pPr>
        <w:keepNext/>
        <w:spacing w:before="360" w:after="20"/>
      </w:pPr>
      <w:r>
        <w:rPr>
          <w:rFonts w:ascii="Georgia" w:hAnsi="Georgia" w:eastAsia="Georgia"/>
          <w:b/>
          <w:color w:val="B8892E"/>
          <w:sz w:val="19"/>
        </w:rPr>
        <w:t>01</w:t>
      </w:r>
    </w:p>
    <w:p>
      <w:pPr>
        <w:keepNext/>
        <w:spacing w:before="0" w:after="40"/>
      </w:pPr>
      <w:r>
        <w:rPr>
          <w:rFonts w:ascii="宋体" w:hAnsi="宋体" w:eastAsia="宋体"/>
          <w:b/>
          <w:color w:val="1B1D18"/>
          <w:sz w:val="46"/>
        </w:rPr>
        <w:t>现状与目标</w:t>
      </w:r>
    </w:p>
    <w:p>
      <w:pPr>
        <w:keepNext/>
        <w:spacing w:after="200"/>
        <w:pBdr>
          <w:bottom w:val="single" w:sz="6" w:space="8" w:color="B8892E"/>
        </w:pBdr>
      </w:pPr>
      <w:r>
        <w:rPr>
          <w:rFonts w:ascii="微软雅黑" w:hAnsi="微软雅黑" w:eastAsia="微软雅黑"/>
          <w:color w:val="6F7468"/>
          <w:sz w:val="19"/>
        </w:rPr>
        <w:t>先承认 MVP 的边界，才能设计正确的下一步。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1.1  </w:t>
      </w:r>
      <w:r>
        <w:rPr>
          <w:rFonts w:ascii="微软雅黑" w:hAnsi="微软雅黑" w:eastAsia="微软雅黑"/>
          <w:b/>
          <w:color w:val="1B1D18"/>
          <w:sz w:val="24"/>
        </w:rPr>
        <w:t>当前 MVP 的真实边界</w:t>
      </w:r>
    </w:p>
    <w:p>
      <w:pPr>
        <w:spacing w:after="100" w:line="341" w:lineRule="auto"/>
      </w:pPr>
      <w:r>
        <w:rPr>
          <w:rFonts w:ascii="微软雅黑" w:hAnsi="微软雅黑" w:eastAsia="微软雅黑"/>
          <w:color w:val="1B1D18"/>
          <w:sz w:val="20"/>
        </w:rPr>
        <w:t>当前仓库里的 GoldLens 是一个可运行的 Web MVP：单页结构、原生 JavaScript、Node 内置 HTTP 服务、公开数据源、localStorage 持仓与提醒、PWA 与静态 Demo。它的工程质量高于“演示页面”，但离“产品”还差四层。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1-1 · 当前架构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515"/>
        <w:gridCol w:w="2268"/>
        <w:gridCol w:w="2494"/>
      </w:tblGrid>
      <w:tr>
        <w:trPr>
          <w:cantSplit/>
          <w:tblHeader/>
          <w:keepNext/>
        </w:trPr>
        <w:tc>
          <w:tcPr>
            <w:tcW w:type="dxa" w:w="113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层</w:t>
            </w:r>
          </w:p>
        </w:tc>
        <w:tc>
          <w:tcPr>
            <w:tcW w:type="dxa" w:w="3515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现状</w:t>
            </w:r>
          </w:p>
        </w:tc>
        <w:tc>
          <w:tcPr>
            <w:tcW w:type="dxa" w:w="2268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优点</w:t>
            </w:r>
          </w:p>
        </w:tc>
        <w:tc>
          <w:tcPr>
            <w:tcW w:type="dxa" w:w="249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限制</w:t>
            </w:r>
          </w:p>
        </w:tc>
      </w:tr>
      <w:tr>
        <w:trPr>
          <w:cantSplit/>
          <w:keepNex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前端</w:t>
            </w:r>
          </w:p>
        </w:tc>
        <w:tc>
          <w:tcPr>
            <w:tcW w:type="dxa" w:w="351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原生 HTML/CSS/JS、SVG 图表、单页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加载快、无构建链、视觉可控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难做多页面、账户态、复杂交互</w:t>
            </w:r>
          </w:p>
        </w:tc>
      </w:tr>
      <w:tr>
        <w:trPr>
          <w:cantSplit/>
          <w:keepNex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服务端</w:t>
            </w:r>
          </w:p>
        </w:tc>
        <w:tc>
          <w:tcPr>
            <w:tcW w:type="dxa" w:w="351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Node 24 内置 http、60s 缓存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零依赖、部署简单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单进程、无队列、无 observability</w:t>
            </w:r>
          </w:p>
        </w:tc>
      </w:tr>
      <w:tr>
        <w:trPr>
          <w:cantSplit/>
          <w:keepNex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数据</w:t>
            </w:r>
          </w:p>
        </w:tc>
        <w:tc>
          <w:tcPr>
            <w:tcW w:type="dxa" w:w="351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gold-api / open.er-api / Yahoo / GTA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真实、便宜、够用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授权、限流、字段变化、无历史归档</w:t>
            </w:r>
          </w:p>
        </w:tc>
      </w:tr>
      <w:tr>
        <w:trPr>
          <w:cantSplit/>
          <w:keepNex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身份</w:t>
            </w:r>
          </w:p>
        </w:tc>
        <w:tc>
          <w:tcPr>
            <w:tcW w:type="dxa" w:w="351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无账户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零摩擦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无法跨设备、无法订阅、无法留存</w:t>
            </w:r>
          </w:p>
        </w:tc>
      </w:tr>
      <w:tr>
        <w:trPr>
          <w:cantSplit/>
          <w:keepNex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存储</w:t>
            </w:r>
          </w:p>
        </w:tc>
        <w:tc>
          <w:tcPr>
            <w:tcW w:type="dxa" w:w="351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localStorage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隐私简单、离线可用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换设备丢失、无法审计、无法共享</w:t>
            </w:r>
          </w:p>
        </w:tc>
      </w:tr>
      <w:tr>
        <w:trPr>
          <w:cantSplit/>
          <w:keepNex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运营</w:t>
            </w:r>
          </w:p>
        </w:tc>
        <w:tc>
          <w:tcPr>
            <w:tcW w:type="dxa" w:w="351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无后台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开发快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无法审核 dealer、无法客服、无法配置规则</w:t>
            </w:r>
          </w:p>
        </w:tc>
      </w:tr>
      <w:tr>
        <w:trPr>
          <w:cantSpli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测试</w:t>
            </w:r>
          </w:p>
        </w:tc>
        <w:tc>
          <w:tcPr>
            <w:tcW w:type="dxa" w:w="351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smoke + Playwright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关键路径有覆盖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缺单测、契约测试、视觉回归</w:t>
            </w:r>
          </w:p>
        </w:tc>
      </w:tr>
    </w:tbl>
    <w:p>
      <w:pPr>
        <w:spacing w:after="20"/>
      </w:pPr>
    </w:p>
    <w:p>
      <w:pPr>
        <w:spacing w:after="100" w:line="341" w:lineRule="auto"/>
      </w:pPr>
      <w:r>
        <w:rPr>
          <w:rFonts w:ascii="微软雅黑" w:hAnsi="微软雅黑" w:eastAsia="微软雅黑"/>
          <w:b/>
          <w:color w:val="1B1D18"/>
          <w:sz w:val="20"/>
        </w:rPr>
        <w:t>判断：</w:t>
      </w:r>
      <w:r>
        <w:rPr>
          <w:rFonts w:ascii="微软雅黑" w:hAnsi="微软雅黑" w:eastAsia="微软雅黑"/>
          <w:color w:val="1B1D18"/>
          <w:sz w:val="20"/>
        </w:rPr>
        <w:t>保留三样东西：计算口径、数据降级策略、设计语言。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计算口径：泰国 96.5% / baht、金料/工费/税/回购/回本点，已经被真实数据验证过。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降级策略：单源失败显示“快照”，无后端显示“DEMO”；这是可信产品的基础。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设计语言：深色 + 金色 + 衬线标题的“安静奢侈”方向，比通用金融 App 更适合黄金。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1.2  </w:t>
      </w:r>
      <w:r>
        <w:rPr>
          <w:rFonts w:ascii="微软雅黑" w:hAnsi="微软雅黑" w:eastAsia="微软雅黑"/>
          <w:b/>
          <w:color w:val="1B1D18"/>
          <w:sz w:val="24"/>
        </w:rPr>
        <w:t>从 MVP 到生产级的九个缺口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1-2 · 缺口与优先级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4535"/>
        <w:gridCol w:w="1134"/>
        <w:gridCol w:w="1814"/>
      </w:tblGrid>
      <w:tr>
        <w:trPr>
          <w:cantSplit/>
          <w:tblHeader/>
        </w:trPr>
        <w:tc>
          <w:tcPr>
            <w:tcW w:type="dxa" w:w="1928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缺口</w:t>
            </w:r>
          </w:p>
        </w:tc>
        <w:tc>
          <w:tcPr>
            <w:tcW w:type="dxa" w:w="4535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影响</w:t>
            </w:r>
          </w:p>
        </w:tc>
        <w:tc>
          <w:tcPr>
            <w:tcW w:type="dxa" w:w="113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181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本方案对应章节</w:t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身份与账户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不能跨设备、不能订阅、不能做留存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P0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第 11 章</w:t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数据库与审计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价格、持仓、报价不可追溯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P0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第 6 章</w:t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Dealer 报价网络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只有“算”，没有“买得到”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P0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第 10 章</w:t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数据质量与授权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抓取失败/字段变化会直接误导用户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P0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第 6 / 12 章</w:t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后台与客服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无法审核、配置、处理投诉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P1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第 12 章</w:t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支付与订阅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没有收入闭环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P1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第 11 章</w:t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i18n / RTL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只能服务中文/英文，难进海湾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P1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第 9 章</w:t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可观测性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出问题只能靠用户反馈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P0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第 12 章</w:t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性能与安全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公开运营后会被爬、被刷、被攻击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P0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第 12 章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411"/>
            <w:shd w:fill="F3EBD8"/>
            <w:tcBorders>
              <w:top w:val="single" w:sz="6" w:space="0" w:color="D9C48F"/>
              <w:left w:val="single" w:sz="6" w:space="0" w:color="D9C48F"/>
              <w:bottom w:val="single" w:sz="6" w:space="0" w:color="D9C48F"/>
              <w:right w:val="single" w:sz="6" w:space="0" w:color="D9C48F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B8892E"/>
                <w:sz w:val="15"/>
              </w:rPr>
              <w:t>不要做的事</w:t>
            </w:r>
          </w:p>
          <w:p>
            <w:pPr>
              <w:spacing w:after="0" w:line="336" w:lineRule="auto"/>
            </w:pPr>
            <w:r>
              <w:rPr>
                <w:rFonts w:ascii="微软雅黑" w:hAnsi="微软雅黑" w:eastAsia="微软雅黑"/>
                <w:color w:val="1B1D18"/>
                <w:sz w:val="19"/>
              </w:rPr>
              <w:t>不要在第一天做微服务、不要做自研图表库、不要做“AI 预测金价”、不要碰托管与交易。先把“算得清、买得到、留得住”三件事做穿。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1.3  </w:t>
      </w:r>
      <w:r>
        <w:rPr>
          <w:rFonts w:ascii="微软雅黑" w:hAnsi="微软雅黑" w:eastAsia="微软雅黑"/>
          <w:b/>
          <w:color w:val="1B1D18"/>
          <w:sz w:val="24"/>
        </w:rPr>
        <w:t>目标状态：从工具到平台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1-3 · MVP 与 2.0 的差别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3515"/>
        <w:gridCol w:w="4535"/>
      </w:tblGrid>
      <w:tr>
        <w:trPr>
          <w:cantSplit/>
          <w:tblHeader/>
          <w:keepNext/>
        </w:trPr>
        <w:tc>
          <w:tcPr>
            <w:tcW w:type="dxa" w:w="1361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3515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当前 MVP</w:t>
            </w:r>
          </w:p>
        </w:tc>
        <w:tc>
          <w:tcPr>
            <w:tcW w:type="dxa" w:w="4535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GoldLens 2.0</w:t>
            </w:r>
          </w:p>
        </w:tc>
      </w:tr>
      <w:tr>
        <w:trPr>
          <w:cantSplit/>
          <w:keepNext/>
        </w:trPr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用户</w:t>
            </w:r>
          </w:p>
        </w:tc>
        <w:tc>
          <w:tcPr>
            <w:tcW w:type="dxa" w:w="351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匿名访客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账户 + 游客模式 + 跨设备同步</w:t>
            </w:r>
          </w:p>
        </w:tc>
      </w:tr>
      <w:tr>
        <w:trPr>
          <w:cantSplit/>
          <w:keepNext/>
        </w:trPr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价值</w:t>
            </w:r>
          </w:p>
        </w:tc>
        <w:tc>
          <w:tcPr>
            <w:tcW w:type="dxa" w:w="351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算一次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算、比、问、买、跟踪、提醒</w:t>
            </w:r>
          </w:p>
        </w:tc>
      </w:tr>
      <w:tr>
        <w:trPr>
          <w:cantSplit/>
          <w:keepNext/>
        </w:trPr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数据</w:t>
            </w:r>
          </w:p>
        </w:tc>
        <w:tc>
          <w:tcPr>
            <w:tcW w:type="dxa" w:w="351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公开接口 + 快照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多源校验 + 历史归档 + 门店报价</w:t>
            </w:r>
          </w:p>
        </w:tc>
      </w:tr>
      <w:tr>
        <w:trPr>
          <w:cantSplit/>
          <w:keepNext/>
        </w:trPr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供给</w:t>
            </w:r>
          </w:p>
        </w:tc>
        <w:tc>
          <w:tcPr>
            <w:tcW w:type="dxa" w:w="351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无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已验证 dealer + 报价请求 + 线索</w:t>
            </w:r>
          </w:p>
        </w:tc>
      </w:tr>
      <w:tr>
        <w:trPr>
          <w:cantSplit/>
          <w:keepNext/>
        </w:trPr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收入</w:t>
            </w:r>
          </w:p>
        </w:tc>
        <w:tc>
          <w:tcPr>
            <w:tcW w:type="dxa" w:w="351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无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订阅 + 导购 + B2B 白标</w:t>
            </w:r>
          </w:p>
        </w:tc>
      </w:tr>
      <w:tr>
        <w:trPr>
          <w:cantSplit/>
          <w:keepNext/>
        </w:trPr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运营</w:t>
            </w:r>
          </w:p>
        </w:tc>
        <w:tc>
          <w:tcPr>
            <w:tcW w:type="dxa" w:w="351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无后台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Admin + Dealer Portal + 客服工具</w:t>
            </w:r>
          </w:p>
        </w:tc>
      </w:tr>
      <w:tr>
        <w:trPr>
          <w:cantSplit/>
          <w:keepNext/>
        </w:trPr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质量</w:t>
            </w:r>
          </w:p>
        </w:tc>
        <w:tc>
          <w:tcPr>
            <w:tcW w:type="dxa" w:w="351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关键路径测试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单测/契约/E2E/视觉/可访问性/压测</w:t>
            </w:r>
          </w:p>
        </w:tc>
      </w:tr>
      <w:tr>
        <w:trPr>
          <w:cantSplit/>
        </w:trPr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合规</w:t>
            </w:r>
          </w:p>
        </w:tc>
        <w:tc>
          <w:tcPr>
            <w:tcW w:type="dxa" w:w="351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免责声明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隐私、数据权利、市场规则、审计</w:t>
            </w:r>
          </w:p>
        </w:tc>
      </w:tr>
    </w:tbl>
    <w:p>
      <w:pPr>
        <w:spacing w:after="20"/>
      </w:pPr>
    </w:p>
    <w:p>
      <w:pPr>
        <w:spacing w:after="100" w:line="341" w:lineRule="auto"/>
      </w:pPr>
      <w:r>
        <w:rPr>
          <w:rFonts w:ascii="微软雅黑" w:hAnsi="微软雅黑" w:eastAsia="微软雅黑"/>
          <w:b/>
          <w:color w:val="1B1D18"/>
          <w:sz w:val="20"/>
        </w:rPr>
        <w:t>定义：</w:t>
      </w:r>
      <w:r>
        <w:rPr>
          <w:rFonts w:ascii="微软雅黑" w:hAnsi="微软雅黑" w:eastAsia="微软雅黑"/>
          <w:color w:val="1B1D18"/>
          <w:sz w:val="20"/>
        </w:rPr>
        <w:t>“完全可用”不是功能越多越好，而是用户能在真实网络、真实语言、真实门店环境里完成一条完整路径：发现 → 计算 → 比较 → 询价 → 到店/成交 → 跟踪 → 再次回来。</w:t>
      </w:r>
    </w:p>
    <w:p>
      <w:pPr>
        <w:keepNext/>
        <w:spacing w:before="360" w:after="20"/>
      </w:pPr>
      <w:r>
        <w:rPr>
          <w:rFonts w:ascii="Georgia" w:hAnsi="Georgia" w:eastAsia="Georgia"/>
          <w:b/>
          <w:color w:val="B8892E"/>
          <w:sz w:val="19"/>
        </w:rPr>
        <w:t>02</w:t>
      </w:r>
    </w:p>
    <w:p>
      <w:pPr>
        <w:keepNext/>
        <w:spacing w:before="0" w:after="40"/>
      </w:pPr>
      <w:r>
        <w:rPr>
          <w:rFonts w:ascii="宋体" w:hAnsi="宋体" w:eastAsia="宋体"/>
          <w:b/>
          <w:color w:val="1B1D18"/>
          <w:sz w:val="46"/>
        </w:rPr>
        <w:t>产品范围</w:t>
      </w:r>
    </w:p>
    <w:p>
      <w:pPr>
        <w:keepNext/>
        <w:spacing w:after="200"/>
        <w:pBdr>
          <w:bottom w:val="single" w:sz="6" w:space="8" w:color="B8892E"/>
        </w:pBdr>
      </w:pPr>
      <w:r>
        <w:rPr>
          <w:rFonts w:ascii="微软雅黑" w:hAnsi="微软雅黑" w:eastAsia="微软雅黑"/>
          <w:color w:val="6F7468"/>
          <w:sz w:val="19"/>
        </w:rPr>
        <w:t>V1 只做一条闭环：算清楚、拿到报价、持续跟踪。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2.1  </w:t>
      </w:r>
      <w:r>
        <w:rPr>
          <w:rFonts w:ascii="微软雅黑" w:hAnsi="微软雅黑" w:eastAsia="微软雅黑"/>
          <w:b/>
          <w:color w:val="1B1D18"/>
          <w:sz w:val="24"/>
        </w:rPr>
        <w:t>三类核心用户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2-1 · 用户与任务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061"/>
        <w:gridCol w:w="2948"/>
        <w:gridCol w:w="1928"/>
      </w:tblGrid>
      <w:tr>
        <w:trPr>
          <w:cantSplit/>
          <w:tblHeader/>
          <w:keepNext/>
        </w:trPr>
        <w:tc>
          <w:tcPr>
            <w:tcW w:type="dxa" w:w="147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用户</w:t>
            </w:r>
          </w:p>
        </w:tc>
        <w:tc>
          <w:tcPr>
            <w:tcW w:type="dxa" w:w="3061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典型场景</w:t>
            </w:r>
          </w:p>
        </w:tc>
        <w:tc>
          <w:tcPr>
            <w:tcW w:type="dxa" w:w="2948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核心任务</w:t>
            </w:r>
          </w:p>
        </w:tc>
        <w:tc>
          <w:tcPr>
            <w:tcW w:type="dxa" w:w="1928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成功标准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首次买金者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旅游/婚嫁/送礼，在曼谷、迪拜、孟买门店</w:t>
            </w:r>
          </w:p>
        </w:tc>
        <w:tc>
          <w:tcPr>
            <w:tcW w:type="dxa" w:w="294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不知道单位、工费、税、回购是否合理</w:t>
            </w:r>
          </w:p>
        </w:tc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到店前有一张可给店员看的账单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攒金/定投者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每月 1–10 克，长期持有</w:t>
            </w:r>
          </w:p>
        </w:tc>
        <w:tc>
          <w:tcPr>
            <w:tcW w:type="dxa" w:w="294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不知道每次买入溢价、回购价</w:t>
            </w:r>
          </w:p>
        </w:tc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能看到持仓成本与实时回购价值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以旧换新者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旧金饰换新，补工费/差价</w:t>
            </w:r>
          </w:p>
        </w:tc>
        <w:tc>
          <w:tcPr>
            <w:tcW w:type="dxa" w:w="294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损耗、折旧、工费叠加，算不清</w:t>
            </w:r>
          </w:p>
        </w:tc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知道换新是否比卖掉再买更划算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跨境比价者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在泰国/阿联酋/印度之间比较</w:t>
            </w:r>
          </w:p>
        </w:tc>
        <w:tc>
          <w:tcPr>
            <w:tcW w:type="dxa" w:w="294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单位、纯度、税制不同</w:t>
            </w:r>
          </w:p>
        </w:tc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一张统一口径的跨市场对比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Dealer / 店员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获客、报价、跟进</w:t>
            </w:r>
          </w:p>
        </w:tc>
        <w:tc>
          <w:tcPr>
            <w:tcW w:type="dxa" w:w="294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线索质量低、解释成本高</w:t>
            </w:r>
          </w:p>
        </w:tc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收到结构化需求，快速给出有效报价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2.2  </w:t>
      </w:r>
      <w:r>
        <w:rPr>
          <w:rFonts w:ascii="微软雅黑" w:hAnsi="微软雅黑" w:eastAsia="微软雅黑"/>
          <w:b/>
          <w:color w:val="1B1D18"/>
          <w:sz w:val="24"/>
        </w:rPr>
        <w:t>V1 的八个模块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2-2 · 模块与优先级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969"/>
        <w:gridCol w:w="1247"/>
        <w:gridCol w:w="2494"/>
      </w:tblGrid>
      <w:tr>
        <w:trPr>
          <w:cantSplit/>
          <w:tblHeader/>
          <w:keepNext/>
        </w:trPr>
        <w:tc>
          <w:tcPr>
            <w:tcW w:type="dxa" w:w="1587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type="dxa" w:w="3969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内容</w:t>
            </w:r>
          </w:p>
        </w:tc>
        <w:tc>
          <w:tcPr>
            <w:tcW w:type="dxa" w:w="1247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249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关键页面</w:t>
            </w:r>
          </w:p>
        </w:tc>
      </w:tr>
      <w:tr>
        <w:trPr>
          <w:cantSplit/>
          <w:keepNext/>
        </w:trPr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Discover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今日金价、市场概览、趋势、内容</w:t>
            </w:r>
          </w:p>
        </w:tc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P0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/, /markets</w:t>
            </w:r>
          </w:p>
        </w:tc>
      </w:tr>
      <w:tr>
        <w:trPr>
          <w:cantSplit/>
          <w:keepNext/>
        </w:trPr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Calculate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到价计算、工费/税/回购/回本</w:t>
            </w:r>
          </w:p>
        </w:tc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P0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/calculate</w:t>
            </w:r>
          </w:p>
        </w:tc>
      </w:tr>
      <w:tr>
        <w:trPr>
          <w:cantSplit/>
          <w:keepNext/>
        </w:trPr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Compare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跨市场、跨纯度、跨门店对比</w:t>
            </w:r>
          </w:p>
        </w:tc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P0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/compare</w:t>
            </w:r>
          </w:p>
        </w:tc>
      </w:tr>
      <w:tr>
        <w:trPr>
          <w:cantSplit/>
          <w:keepNext/>
        </w:trPr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Quote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提交需求、Dealer 报价、排名</w:t>
            </w:r>
          </w:p>
        </w:tc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P0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/quotes</w:t>
            </w:r>
          </w:p>
        </w:tc>
      </w:tr>
      <w:tr>
        <w:trPr>
          <w:cantSplit/>
          <w:keepNext/>
        </w:trPr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Track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持仓、提醒、历史账单</w:t>
            </w:r>
          </w:p>
        </w:tc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P0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/portfolio, /alerts</w:t>
            </w:r>
          </w:p>
        </w:tc>
      </w:tr>
      <w:tr>
        <w:trPr>
          <w:cantSplit/>
          <w:keepNext/>
        </w:trPr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Learn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单位、纯度、税制、回购、防坑</w:t>
            </w:r>
          </w:p>
        </w:tc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P1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/learn/[slug]</w:t>
            </w:r>
          </w:p>
        </w:tc>
      </w:tr>
      <w:tr>
        <w:trPr>
          <w:cantSplit/>
          <w:keepNext/>
        </w:trPr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Account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登录、偏好、订阅、数据权利</w:t>
            </w:r>
          </w:p>
        </w:tc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P0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/account</w:t>
            </w:r>
          </w:p>
        </w:tc>
      </w:tr>
      <w:tr>
        <w:trPr>
          <w:cantSplit/>
        </w:trPr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Dealer / Admin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报价、线索、审核、规则、客服</w:t>
            </w:r>
          </w:p>
        </w:tc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P0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/dealer, /admin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2.3  </w:t>
      </w:r>
      <w:r>
        <w:rPr>
          <w:rFonts w:ascii="微软雅黑" w:hAnsi="微软雅黑" w:eastAsia="微软雅黑"/>
          <w:b/>
          <w:color w:val="1B1D18"/>
          <w:sz w:val="24"/>
        </w:rPr>
        <w:t>V1 / V1.5 / V2 的边界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2-3 · 版本边界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4535"/>
        <w:gridCol w:w="2494"/>
        <w:gridCol w:w="1361"/>
      </w:tblGrid>
      <w:tr>
        <w:trPr>
          <w:cantSplit/>
          <w:tblHeader/>
          <w:keepNext/>
        </w:trPr>
        <w:tc>
          <w:tcPr>
            <w:tcW w:type="dxa" w:w="1020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版本</w:t>
            </w:r>
          </w:p>
        </w:tc>
        <w:tc>
          <w:tcPr>
            <w:tcW w:type="dxa" w:w="4535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必须做</w:t>
            </w:r>
          </w:p>
        </w:tc>
        <w:tc>
          <w:tcPr>
            <w:tcW w:type="dxa" w:w="249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可以做</w:t>
            </w:r>
          </w:p>
        </w:tc>
        <w:tc>
          <w:tcPr>
            <w:tcW w:type="dxa" w:w="1361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不做</w:t>
            </w:r>
          </w:p>
        </w:tc>
      </w:tr>
      <w:tr>
        <w:trPr>
          <w:cantSplit/>
          <w:keepNext/>
        </w:trPr>
        <w:tc>
          <w:tcPr>
            <w:tcW w:type="dxa" w:w="1020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V1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账户、计算、跨市场、持仓、提醒、3 个市场、Dealer 试点、订阅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分享卡、收据上传、LINE 通知</w:t>
            </w:r>
          </w:p>
        </w:tc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交易、托管、KYC、预测</w:t>
            </w:r>
          </w:p>
        </w:tc>
      </w:tr>
      <w:tr>
        <w:trPr>
          <w:cantSplit/>
          <w:keepNext/>
        </w:trPr>
        <w:tc>
          <w:tcPr>
            <w:tcW w:type="dxa" w:w="1020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V1.5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Dealer 排名、报价历史、Admin 规则、UAE/India 本地化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WhatsApp、OCR 识别、B2B 白标</w:t>
            </w:r>
          </w:p>
        </w:tc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自营金库、杠杆、借贷</w:t>
            </w:r>
          </w:p>
        </w:tc>
      </w:tr>
      <w:tr>
        <w:trPr>
          <w:cantSplit/>
        </w:trPr>
        <w:tc>
          <w:tcPr>
            <w:tcW w:type="dxa" w:w="1020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V2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多语言/RTL、移动端壳、开放 API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门店库存、预约、保险</w:t>
            </w:r>
          </w:p>
        </w:tc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自营交易平台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2.4  </w:t>
      </w:r>
      <w:r>
        <w:rPr>
          <w:rFonts w:ascii="微软雅黑" w:hAnsi="微软雅黑" w:eastAsia="微软雅黑"/>
          <w:b/>
          <w:color w:val="1B1D18"/>
          <w:sz w:val="24"/>
        </w:rPr>
        <w:t>明确的非目标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不做交易撮合、不做资金托管、不做代购、不做金库。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不做“金价预测/买卖信号”，不输出个性化投资建议。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不做自营金店；Dealer 是独立供给方，平台只做信息与线索。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不在 V1 做原生 iOS/Android；先用 PWA 验证留存，再决定移动壳。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2.5  </w:t>
      </w:r>
      <w:r>
        <w:rPr>
          <w:rFonts w:ascii="微软雅黑" w:hAnsi="微软雅黑" w:eastAsia="微软雅黑"/>
          <w:b/>
          <w:color w:val="1B1D18"/>
          <w:sz w:val="24"/>
        </w:rPr>
        <w:t>成功指标与反指标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2-4 · 指标树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628"/>
        <w:gridCol w:w="1587"/>
        <w:gridCol w:w="2948"/>
      </w:tblGrid>
      <w:tr>
        <w:trPr>
          <w:cantSplit/>
          <w:tblHeader/>
          <w:keepNext/>
        </w:trPr>
        <w:tc>
          <w:tcPr>
            <w:tcW w:type="dxa" w:w="1247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层级</w:t>
            </w:r>
          </w:p>
        </w:tc>
        <w:tc>
          <w:tcPr>
            <w:tcW w:type="dxa" w:w="3628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指标</w:t>
            </w:r>
          </w:p>
        </w:tc>
        <w:tc>
          <w:tcPr>
            <w:tcW w:type="dxa" w:w="1587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目标</w:t>
            </w:r>
          </w:p>
        </w:tc>
        <w:tc>
          <w:tcPr>
            <w:tcW w:type="dxa" w:w="2948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反指标</w:t>
            </w:r>
          </w:p>
        </w:tc>
      </w:tr>
      <w:tr>
        <w:trPr>
          <w:cantSplit/>
          <w:keepNext/>
        </w:trPr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获取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自然搜索点击 / 月</w:t>
            </w:r>
          </w:p>
        </w:tc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≥ 30k</w:t>
            </w:r>
          </w:p>
        </w:tc>
        <w:tc>
          <w:tcPr>
            <w:tcW w:type="dxa" w:w="294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只靠投放，SEO 无增长</w:t>
            </w:r>
          </w:p>
        </w:tc>
      </w:tr>
      <w:tr>
        <w:trPr>
          <w:cantSplit/>
          <w:keepNext/>
        </w:trPr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激活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计算完成率</w:t>
            </w:r>
          </w:p>
        </w:tc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≥ 45%</w:t>
            </w:r>
          </w:p>
        </w:tc>
        <w:tc>
          <w:tcPr>
            <w:tcW w:type="dxa" w:w="294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页面很炫但没人算完</w:t>
            </w:r>
          </w:p>
        </w:tc>
      </w:tr>
      <w:tr>
        <w:trPr>
          <w:cantSplit/>
          <w:keepNext/>
        </w:trPr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价值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报价请求率</w:t>
            </w:r>
          </w:p>
        </w:tc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≥ 6%</w:t>
            </w:r>
          </w:p>
        </w:tc>
        <w:tc>
          <w:tcPr>
            <w:tcW w:type="dxa" w:w="294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只看看，不询价</w:t>
            </w:r>
          </w:p>
        </w:tc>
      </w:tr>
      <w:tr>
        <w:trPr>
          <w:cantSplit/>
          <w:keepNext/>
        </w:trPr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供给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Dealer 24h 响应率</w:t>
            </w:r>
          </w:p>
        </w:tc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≥ 70%</w:t>
            </w:r>
          </w:p>
        </w:tc>
        <w:tc>
          <w:tcPr>
            <w:tcW w:type="dxa" w:w="294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大量无效线索</w:t>
            </w:r>
          </w:p>
        </w:tc>
      </w:tr>
      <w:tr>
        <w:trPr>
          <w:cantSplit/>
          <w:keepNext/>
        </w:trPr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留存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D30 回访</w:t>
            </w:r>
          </w:p>
        </w:tc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≥ 18%</w:t>
            </w:r>
          </w:p>
        </w:tc>
        <w:tc>
          <w:tcPr>
            <w:tcW w:type="dxa" w:w="294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只有金价大涨才回来</w:t>
            </w:r>
          </w:p>
        </w:tc>
      </w:tr>
      <w:tr>
        <w:trPr>
          <w:cantSplit/>
        </w:trPr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收入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Pro 转化</w:t>
            </w:r>
          </w:p>
        </w:tc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≥ 1.5%</w:t>
            </w:r>
          </w:p>
        </w:tc>
        <w:tc>
          <w:tcPr>
            <w:tcW w:type="dxa" w:w="294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订阅权益与免费版无差异</w:t>
            </w:r>
          </w:p>
        </w:tc>
      </w:tr>
    </w:tbl>
    <w:p>
      <w:pPr>
        <w:spacing w:after="20"/>
      </w:pPr>
    </w:p>
    <w:p>
      <w:pPr>
        <w:keepNext/>
        <w:spacing w:before="360" w:after="20"/>
      </w:pPr>
      <w:r>
        <w:rPr>
          <w:rFonts w:ascii="Georgia" w:hAnsi="Georgia" w:eastAsia="Georgia"/>
          <w:b/>
          <w:color w:val="B8892E"/>
          <w:sz w:val="19"/>
        </w:rPr>
        <w:t>03</w:t>
      </w:r>
    </w:p>
    <w:p>
      <w:pPr>
        <w:keepNext/>
        <w:spacing w:before="0" w:after="40"/>
      </w:pPr>
      <w:r>
        <w:rPr>
          <w:rFonts w:ascii="宋体" w:hAnsi="宋体" w:eastAsia="宋体"/>
          <w:b/>
          <w:color w:val="1B1D18"/>
          <w:sz w:val="46"/>
        </w:rPr>
        <w:t>架构原则与选型</w:t>
      </w:r>
    </w:p>
    <w:p>
      <w:pPr>
        <w:keepNext/>
        <w:spacing w:after="200"/>
        <w:pBdr>
          <w:bottom w:val="single" w:sz="6" w:space="8" w:color="B8892E"/>
        </w:pBdr>
      </w:pPr>
      <w:r>
        <w:rPr>
          <w:rFonts w:ascii="微软雅黑" w:hAnsi="微软雅黑" w:eastAsia="微软雅黑"/>
          <w:color w:val="6F7468"/>
          <w:sz w:val="19"/>
        </w:rPr>
        <w:t>为 1–10 万 MAU 设计，不为“以后可能”过度设计。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3.1  </w:t>
      </w:r>
      <w:r>
        <w:rPr>
          <w:rFonts w:ascii="微软雅黑" w:hAnsi="微软雅黑" w:eastAsia="微软雅黑"/>
          <w:b/>
          <w:color w:val="1B1D18"/>
          <w:sz w:val="24"/>
        </w:rPr>
        <w:t>七条原则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模块化单体优先：一个部署单元、一个数据库、清晰的模块边界；等团队和流量真的需要，再拆。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领域核心纯函数化：单位、纯度、税、工费、回购、回本点不依赖 React、不依赖数据库。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数据可追溯：每条价格/报价都有来源、时间、置信度、版本；不许“拍脑袋覆盖”。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优雅降级：单源失败显示快照；无后端显示 DEMO；写操作失败可重试、可回滚。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本地优先：弱网/离线也能计算和查看持仓；登录后增量同步。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安全默认：最小权限、服务端校验、限流、审计、隐私最小化。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体验即基础设施：性能预算、可访问性、i18n、SEO 不是“上线后再补”。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3.2  </w:t>
      </w:r>
      <w:r>
        <w:rPr>
          <w:rFonts w:ascii="微软雅黑" w:hAnsi="微软雅黑" w:eastAsia="微软雅黑"/>
          <w:b/>
          <w:color w:val="1B1D18"/>
          <w:sz w:val="24"/>
        </w:rPr>
        <w:t>为什么是模块化单体</w:t>
      </w:r>
    </w:p>
    <w:p>
      <w:pPr>
        <w:spacing w:after="100" w:line="341" w:lineRule="auto"/>
      </w:pPr>
      <w:r>
        <w:rPr>
          <w:rFonts w:ascii="微软雅黑" w:hAnsi="微软雅黑" w:eastAsia="微软雅黑"/>
          <w:color w:val="1B1D18"/>
          <w:sz w:val="20"/>
        </w:rPr>
        <w:t>GoldLens 的领域边界很清楚：价格、计算、报价、持仓、提醒、订阅。它们共享同一套用户、市场、纯度、单位与权限模型，强耦合、低独立部署价值。过早拆成 6 个服务，只会把“一个事务”变成“六个分布式事务”。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3-1 · 单体 vs 微服务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082"/>
        <w:gridCol w:w="3855"/>
      </w:tblGrid>
      <w:tr>
        <w:trPr>
          <w:cantSplit/>
          <w:tblHeader/>
          <w:keepNext/>
        </w:trPr>
        <w:tc>
          <w:tcPr>
            <w:tcW w:type="dxa" w:w="147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4082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模块化单体（推荐）</w:t>
            </w:r>
          </w:p>
        </w:tc>
        <w:tc>
          <w:tcPr>
            <w:tcW w:type="dxa" w:w="3855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微服务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交付速度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一个 PR、一次部署</w:t>
            </w:r>
          </w:p>
        </w:tc>
        <w:tc>
          <w:tcPr>
            <w:tcW w:type="dxa" w:w="385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多仓库/多流水线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事务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数据库事务直接保证</w:t>
            </w:r>
          </w:p>
        </w:tc>
        <w:tc>
          <w:tcPr>
            <w:tcW w:type="dxa" w:w="385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Saga/补偿，复杂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调试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一个日志链路</w:t>
            </w:r>
          </w:p>
        </w:tc>
        <w:tc>
          <w:tcPr>
            <w:tcW w:type="dxa" w:w="385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跨服务追踪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团队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3–6 人最合适</w:t>
            </w:r>
          </w:p>
        </w:tc>
        <w:tc>
          <w:tcPr>
            <w:tcW w:type="dxa" w:w="385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需要平台团队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扩展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按模块水平扩展；worker 独立</w:t>
            </w:r>
          </w:p>
        </w:tc>
        <w:tc>
          <w:tcPr>
            <w:tcW w:type="dxa" w:w="385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按服务扩展，成本更高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何时切换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&gt;30 人、&gt;100 万 MAU、模块独立扩容</w:t>
            </w:r>
          </w:p>
        </w:tc>
        <w:tc>
          <w:tcPr>
            <w:tcW w:type="dxa" w:w="385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现在就拆是负优化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3.3  </w:t>
      </w:r>
      <w:r>
        <w:rPr>
          <w:rFonts w:ascii="微软雅黑" w:hAnsi="微软雅黑" w:eastAsia="微软雅黑"/>
          <w:b/>
          <w:color w:val="1B1D18"/>
          <w:sz w:val="24"/>
        </w:rPr>
        <w:t>技术选型决策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3-2 · 选型与替代方案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175"/>
        <w:gridCol w:w="3061"/>
        <w:gridCol w:w="2041"/>
      </w:tblGrid>
      <w:tr>
        <w:trPr>
          <w:cantSplit/>
          <w:tblHeader/>
        </w:trPr>
        <w:tc>
          <w:tcPr>
            <w:tcW w:type="dxa" w:w="113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层</w:t>
            </w:r>
          </w:p>
        </w:tc>
        <w:tc>
          <w:tcPr>
            <w:tcW w:type="dxa" w:w="3175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选择</w:t>
            </w:r>
          </w:p>
        </w:tc>
        <w:tc>
          <w:tcPr>
            <w:tcW w:type="dxa" w:w="3061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为什么</w:t>
            </w:r>
          </w:p>
        </w:tc>
        <w:tc>
          <w:tcPr>
            <w:tcW w:type="dxa" w:w="2041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替代</w:t>
            </w:r>
          </w:p>
        </w:tc>
      </w:tr>
      <w:tr>
        <w:trPr>
          <w:cantSpli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Web</w:t>
            </w:r>
          </w:p>
        </w:tc>
        <w:tc>
          <w:tcPr>
            <w:tcW w:type="dxa" w:w="317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Next.js 16 App Router + React 19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SEO/ISR、RSC、BFF、Vercel 预览</w:t>
            </w:r>
          </w:p>
        </w:tc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SvelteKit / Remix</w:t>
            </w:r>
          </w:p>
        </w:tc>
      </w:tr>
      <w:tr>
        <w:trPr>
          <w:cantSpli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语言</w:t>
            </w:r>
          </w:p>
        </w:tc>
        <w:tc>
          <w:tcPr>
            <w:tcW w:type="dxa" w:w="317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TypeScript strict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前后端共享类型与校验</w:t>
            </w:r>
          </w:p>
        </w:tc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JS + JSDoc</w:t>
            </w:r>
          </w:p>
        </w:tc>
      </w:tr>
      <w:tr>
        <w:trPr>
          <w:cantSpli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样式</w:t>
            </w:r>
          </w:p>
        </w:tc>
        <w:tc>
          <w:tcPr>
            <w:tcW w:type="dxa" w:w="317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Tailwind CSS v4 + shadcn/ui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设计系统快、可访问性基线好</w:t>
            </w:r>
          </w:p>
        </w:tc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CSS Modules / Mantine</w:t>
            </w:r>
          </w:p>
        </w:tc>
      </w:tr>
      <w:tr>
        <w:trPr>
          <w:cantSpli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API</w:t>
            </w:r>
          </w:p>
        </w:tc>
        <w:tc>
          <w:tcPr>
            <w:tcW w:type="dxa" w:w="317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Next Route Handlers + Zod/OpenAPI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少一个服务、契约清晰</w:t>
            </w:r>
          </w:p>
        </w:tc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Fastify / NestJS</w:t>
            </w:r>
          </w:p>
        </w:tc>
      </w:tr>
      <w:tr>
        <w:trPr>
          <w:cantSpli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数据库</w:t>
            </w:r>
          </w:p>
        </w:tc>
        <w:tc>
          <w:tcPr>
            <w:tcW w:type="dxa" w:w="317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PostgreSQL 17 + Drizzle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事务、关系、时间序列、SQL 可控</w:t>
            </w:r>
          </w:p>
        </w:tc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MySQL / MongoDB</w:t>
            </w:r>
          </w:p>
        </w:tc>
      </w:tr>
      <w:tr>
        <w:trPr>
          <w:cantSpli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缓存/队列</w:t>
            </w:r>
          </w:p>
        </w:tc>
        <w:tc>
          <w:tcPr>
            <w:tcW w:type="dxa" w:w="317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Redis + QStash/BullMQ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价格缓存、限流、异步报价</w:t>
            </w:r>
          </w:p>
        </w:tc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SQS / RabbitMQ</w:t>
            </w:r>
          </w:p>
        </w:tc>
      </w:tr>
      <w:tr>
        <w:trPr>
          <w:cantSpli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认证</w:t>
            </w:r>
          </w:p>
        </w:tc>
        <w:tc>
          <w:tcPr>
            <w:tcW w:type="dxa" w:w="317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Auth.js v5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自托管、多 provider、可控</w:t>
            </w:r>
          </w:p>
        </w:tc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Clerk / Supabase Auth</w:t>
            </w:r>
          </w:p>
        </w:tc>
      </w:tr>
      <w:tr>
        <w:trPr>
          <w:cantSpli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支付</w:t>
            </w:r>
          </w:p>
        </w:tc>
        <w:tc>
          <w:tcPr>
            <w:tcW w:type="dxa" w:w="317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Stripe + Omise（泰国）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订阅/发票/本地支付</w:t>
            </w:r>
          </w:p>
        </w:tc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Paddle / 自建</w:t>
            </w:r>
          </w:p>
        </w:tc>
      </w:tr>
      <w:tr>
        <w:trPr>
          <w:cantSpli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部署</w:t>
            </w:r>
          </w:p>
        </w:tc>
        <w:tc>
          <w:tcPr>
            <w:tcW w:type="dxa" w:w="317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Vercel + Fly.io worker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前端边缘、worker 长任务</w:t>
            </w:r>
          </w:p>
        </w:tc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AWS / Cloudflare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3.4  </w:t>
      </w:r>
      <w:r>
        <w:rPr>
          <w:rFonts w:ascii="微软雅黑" w:hAnsi="微软雅黑" w:eastAsia="微软雅黑"/>
          <w:b/>
          <w:color w:val="1B1D18"/>
          <w:sz w:val="24"/>
        </w:rPr>
        <w:t>容量假设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3-3 · 容量与 SLO 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2041"/>
        <w:gridCol w:w="2041"/>
        <w:gridCol w:w="3855"/>
      </w:tblGrid>
      <w:tr>
        <w:trPr>
          <w:cantSplit/>
          <w:tblHeader/>
          <w:keepNext/>
        </w:trPr>
        <w:tc>
          <w:tcPr>
            <w:tcW w:type="dxa" w:w="147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2041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6 个月</w:t>
            </w:r>
          </w:p>
        </w:tc>
        <w:tc>
          <w:tcPr>
            <w:tcW w:type="dxa" w:w="2041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12 个月</w:t>
            </w:r>
          </w:p>
        </w:tc>
        <w:tc>
          <w:tcPr>
            <w:tcW w:type="dxa" w:w="3855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设计含义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MAU</w:t>
            </w:r>
          </w:p>
        </w:tc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10k</w:t>
            </w:r>
          </w:p>
        </w:tc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100k</w:t>
            </w:r>
          </w:p>
        </w:tc>
        <w:tc>
          <w:tcPr>
            <w:tcW w:type="dxa" w:w="385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单区域多可用区即可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峰值请求</w:t>
            </w:r>
          </w:p>
        </w:tc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20 req/s</w:t>
            </w:r>
          </w:p>
        </w:tc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150 req/s</w:t>
            </w:r>
          </w:p>
        </w:tc>
        <w:tc>
          <w:tcPr>
            <w:tcW w:type="dxa" w:w="385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CDN + Redis 抗读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价格快照</w:t>
            </w:r>
          </w:p>
        </w:tc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~2k/天</w:t>
            </w:r>
          </w:p>
        </w:tc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~20k/天</w:t>
            </w:r>
          </w:p>
        </w:tc>
        <w:tc>
          <w:tcPr>
            <w:tcW w:type="dxa" w:w="385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按月分区，保留 24 个月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Dealer 报价</w:t>
            </w:r>
          </w:p>
        </w:tc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~500/天</w:t>
            </w:r>
          </w:p>
        </w:tc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~10k/天</w:t>
            </w:r>
          </w:p>
        </w:tc>
        <w:tc>
          <w:tcPr>
            <w:tcW w:type="dxa" w:w="385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写多读多，需索引与过期清理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API p95</w:t>
            </w:r>
          </w:p>
        </w:tc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&lt;300ms（缓存）</w:t>
            </w:r>
          </w:p>
        </w:tc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&lt;300ms（缓存）</w:t>
            </w:r>
          </w:p>
        </w:tc>
        <w:tc>
          <w:tcPr>
            <w:tcW w:type="dxa" w:w="385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&lt;800ms（未缓存）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可用性</w:t>
            </w:r>
          </w:p>
        </w:tc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99.5%</w:t>
            </w:r>
          </w:p>
        </w:tc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99.9%</w:t>
            </w:r>
          </w:p>
        </w:tc>
        <w:tc>
          <w:tcPr>
            <w:tcW w:type="dxa" w:w="385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错误预算 + 告警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3.5  </w:t>
      </w:r>
      <w:r>
        <w:rPr>
          <w:rFonts w:ascii="微软雅黑" w:hAnsi="微软雅黑" w:eastAsia="微软雅黑"/>
          <w:b/>
          <w:color w:val="1B1D18"/>
          <w:sz w:val="24"/>
        </w:rPr>
        <w:t>架构决策记录（ADR）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3-4 · ADR 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7030"/>
        <w:gridCol w:w="1247"/>
      </w:tblGrid>
      <w:tr>
        <w:trPr>
          <w:cantSplit/>
          <w:tblHeader/>
          <w:keepNext/>
        </w:trPr>
        <w:tc>
          <w:tcPr>
            <w:tcW w:type="dxa" w:w="113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ADR</w:t>
            </w:r>
          </w:p>
        </w:tc>
        <w:tc>
          <w:tcPr>
            <w:tcW w:type="dxa" w:w="7030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决策</w:t>
            </w:r>
          </w:p>
        </w:tc>
        <w:tc>
          <w:tcPr>
            <w:tcW w:type="dxa" w:w="1247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  <w:keepNex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ADR-001</w:t>
            </w:r>
          </w:p>
        </w:tc>
        <w:tc>
          <w:tcPr>
            <w:tcW w:type="dxa" w:w="7030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模块化单体，worker 独立部署</w:t>
            </w:r>
          </w:p>
        </w:tc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Accepted</w:t>
            </w:r>
          </w:p>
        </w:tc>
      </w:tr>
      <w:tr>
        <w:trPr>
          <w:cantSplit/>
          <w:keepNex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ADR-002</w:t>
            </w:r>
          </w:p>
        </w:tc>
        <w:tc>
          <w:tcPr>
            <w:tcW w:type="dxa" w:w="7030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Next.js App Router 作为 Web/BFF</w:t>
            </w:r>
          </w:p>
        </w:tc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Accepted</w:t>
            </w:r>
          </w:p>
        </w:tc>
      </w:tr>
      <w:tr>
        <w:trPr>
          <w:cantSplit/>
          <w:keepNex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ADR-003</w:t>
            </w:r>
          </w:p>
        </w:tc>
        <w:tc>
          <w:tcPr>
            <w:tcW w:type="dxa" w:w="7030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PostgreSQL 作为唯一事实源</w:t>
            </w:r>
          </w:p>
        </w:tc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Accepted</w:t>
            </w:r>
          </w:p>
        </w:tc>
      </w:tr>
      <w:tr>
        <w:trPr>
          <w:cantSplit/>
          <w:keepNex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ADR-004</w:t>
            </w:r>
          </w:p>
        </w:tc>
        <w:tc>
          <w:tcPr>
            <w:tcW w:type="dxa" w:w="7030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克/纯度/币种为规范单位，金额用 decimal</w:t>
            </w:r>
          </w:p>
        </w:tc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Accepted</w:t>
            </w:r>
          </w:p>
        </w:tc>
      </w:tr>
      <w:tr>
        <w:trPr>
          <w:cantSplit/>
          <w:keepNex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ADR-005</w:t>
            </w:r>
          </w:p>
        </w:tc>
        <w:tc>
          <w:tcPr>
            <w:tcW w:type="dxa" w:w="7030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不托管、不交易、不预测</w:t>
            </w:r>
          </w:p>
        </w:tc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Accepted</w:t>
            </w:r>
          </w:p>
        </w:tc>
      </w:tr>
      <w:tr>
        <w:trPr>
          <w:cantSplit/>
          <w:keepNex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ADR-006</w:t>
            </w:r>
          </w:p>
        </w:tc>
        <w:tc>
          <w:tcPr>
            <w:tcW w:type="dxa" w:w="7030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本地优先 + 云端增量同步</w:t>
            </w:r>
          </w:p>
        </w:tc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Accepted</w:t>
            </w:r>
          </w:p>
        </w:tc>
      </w:tr>
      <w:tr>
        <w:trPr>
          <w:cantSpli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ADR-007</w:t>
            </w:r>
          </w:p>
        </w:tc>
        <w:tc>
          <w:tcPr>
            <w:tcW w:type="dxa" w:w="7030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报价排名不按佣金，按可解释因子</w:t>
            </w:r>
          </w:p>
        </w:tc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Accepted</w:t>
            </w:r>
          </w:p>
        </w:tc>
      </w:tr>
    </w:tbl>
    <w:p>
      <w:pPr>
        <w:spacing w:after="20"/>
      </w:pPr>
    </w:p>
    <w:p>
      <w:pPr>
        <w:keepNext/>
        <w:spacing w:before="360" w:after="20"/>
      </w:pPr>
      <w:r>
        <w:rPr>
          <w:rFonts w:ascii="Georgia" w:hAnsi="Georgia" w:eastAsia="Georgia"/>
          <w:b/>
          <w:color w:val="B8892E"/>
          <w:sz w:val="19"/>
        </w:rPr>
        <w:t>04</w:t>
      </w:r>
    </w:p>
    <w:p>
      <w:pPr>
        <w:keepNext/>
        <w:spacing w:before="0" w:after="40"/>
      </w:pPr>
      <w:r>
        <w:rPr>
          <w:rFonts w:ascii="宋体" w:hAnsi="宋体" w:eastAsia="宋体"/>
          <w:b/>
          <w:color w:val="1B1D18"/>
          <w:sz w:val="46"/>
        </w:rPr>
        <w:t>目标架构</w:t>
      </w:r>
    </w:p>
    <w:p>
      <w:pPr>
        <w:keepNext/>
        <w:spacing w:after="200"/>
        <w:pBdr>
          <w:bottom w:val="single" w:sz="6" w:space="8" w:color="B8892E"/>
        </w:pBdr>
      </w:pPr>
      <w:r>
        <w:rPr>
          <w:rFonts w:ascii="微软雅黑" w:hAnsi="微软雅黑" w:eastAsia="微软雅黑"/>
          <w:color w:val="6F7468"/>
          <w:sz w:val="19"/>
        </w:rPr>
        <w:t>一个前端、一个 BFF、一个 worker、一个数据库。</w:t>
      </w:r>
    </w:p>
    <w:p>
      <w:pPr>
        <w:spacing w:after="100" w:line="341" w:lineRule="auto"/>
      </w:pPr>
      <w:r>
        <w:rPr>
          <w:rFonts w:ascii="微软雅黑" w:hAnsi="微软雅黑" w:eastAsia="微软雅黑"/>
          <w:color w:val="1B1D18"/>
          <w:sz w:val="20"/>
        </w:rPr>
        <w:t>下图是 V1 的目标架构。Experience 层是三个表面：消费者 Web/PWA、Dealer Portal、Admin Console；Edge &amp; Application 层由 Vercel Edge + Next.js BFF 承担；Domain Core 是纯计算与规则；Data &amp; Async 负责持久化、缓存、队列和对象存储；Integrations 对接行情、门店、支付与通知。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4545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454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微软雅黑" w:hAnsi="微软雅黑" w:eastAsia="微软雅黑"/>
          <w:color w:val="6F7468"/>
          <w:sz w:val="15"/>
        </w:rPr>
        <w:t>图 4-1 · GoldLens 2.0 目标架构：模块化单体 + 独立数据 worker。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4.1  </w:t>
      </w:r>
      <w:r>
        <w:rPr>
          <w:rFonts w:ascii="微软雅黑" w:hAnsi="微软雅黑" w:eastAsia="微软雅黑"/>
          <w:b/>
          <w:color w:val="1B1D18"/>
          <w:sz w:val="24"/>
        </w:rPr>
        <w:t>分层职责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4-1 · 架构分层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535"/>
        <w:gridCol w:w="3402"/>
      </w:tblGrid>
      <w:tr>
        <w:trPr>
          <w:cantSplit/>
          <w:tblHeader/>
          <w:keepNext/>
        </w:trPr>
        <w:tc>
          <w:tcPr>
            <w:tcW w:type="dxa" w:w="147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层</w:t>
            </w:r>
          </w:p>
        </w:tc>
        <w:tc>
          <w:tcPr>
            <w:tcW w:type="dxa" w:w="4535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职责</w:t>
            </w:r>
          </w:p>
        </w:tc>
        <w:tc>
          <w:tcPr>
            <w:tcW w:type="dxa" w:w="3402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不做什么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Experience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页面、设计系统、表单、状态、PWA、分享卡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不直接连数据库、不写业务规则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Edge / BFF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鉴权、限流、参数校验、聚合、SSE、缓存头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不承载长时间任务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Domain Core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单位/纯度/税/工费/回购/回本/排名规则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不依赖 React/DB/网络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Data &amp; Async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Postgres、Redis、队列、对象存储、备份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不写业务逻辑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Integrations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行情、FX、GTA、Dealer、Stripe、通知、观测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不让第三方 schema 泄漏到核心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4.2  </w:t>
      </w:r>
      <w:r>
        <w:rPr>
          <w:rFonts w:ascii="微软雅黑" w:hAnsi="微软雅黑" w:eastAsia="微软雅黑"/>
          <w:b/>
          <w:color w:val="1B1D18"/>
          <w:sz w:val="24"/>
        </w:rPr>
        <w:t>运行时拓扑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4-2 · 运行时与供应商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2608"/>
        <w:gridCol w:w="3288"/>
        <w:gridCol w:w="2041"/>
      </w:tblGrid>
      <w:tr>
        <w:trPr>
          <w:cantSplit/>
          <w:tblHeader/>
          <w:keepNext/>
        </w:trPr>
        <w:tc>
          <w:tcPr>
            <w:tcW w:type="dxa" w:w="147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组件</w:t>
            </w:r>
          </w:p>
        </w:tc>
        <w:tc>
          <w:tcPr>
            <w:tcW w:type="dxa" w:w="2608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运行位置</w:t>
            </w:r>
          </w:p>
        </w:tc>
        <w:tc>
          <w:tcPr>
            <w:tcW w:type="dxa" w:w="3288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职责</w:t>
            </w:r>
          </w:p>
        </w:tc>
        <w:tc>
          <w:tcPr>
            <w:tcW w:type="dxa" w:w="2041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故障策略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Web/BFF</w:t>
            </w:r>
          </w:p>
        </w:tc>
        <w:tc>
          <w:tcPr>
            <w:tcW w:type="dxa" w:w="260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Vercel（新加坡/法兰克福）</w:t>
            </w:r>
          </w:p>
        </w:tc>
        <w:tc>
          <w:tcPr>
            <w:tcW w:type="dxa" w:w="328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RSC、API、SSE、预览环境</w:t>
            </w:r>
          </w:p>
        </w:tc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多区域静态回退 + 快照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Worker</w:t>
            </w:r>
          </w:p>
        </w:tc>
        <w:tc>
          <w:tcPr>
            <w:tcW w:type="dxa" w:w="260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Fly.io / Render</w:t>
            </w:r>
          </w:p>
        </w:tc>
        <w:tc>
          <w:tcPr>
            <w:tcW w:type="dxa" w:w="328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行情抓取、报价分发、提醒</w:t>
            </w:r>
          </w:p>
        </w:tc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重试 + DLQ + 告警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Postgres</w:t>
            </w:r>
          </w:p>
        </w:tc>
        <w:tc>
          <w:tcPr>
            <w:tcW w:type="dxa" w:w="260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Neon / Supabase</w:t>
            </w:r>
          </w:p>
        </w:tc>
        <w:tc>
          <w:tcPr>
            <w:tcW w:type="dxa" w:w="328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事实源、PITR、只读副本</w:t>
            </w:r>
          </w:p>
        </w:tc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连接池 + 只读降级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Redis</w:t>
            </w:r>
          </w:p>
        </w:tc>
        <w:tc>
          <w:tcPr>
            <w:tcW w:type="dxa" w:w="260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Upstash</w:t>
            </w:r>
          </w:p>
        </w:tc>
        <w:tc>
          <w:tcPr>
            <w:tcW w:type="dxa" w:w="328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缓存、限流、幂等键</w:t>
            </w:r>
          </w:p>
        </w:tc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失败时降级到 DB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Queue</w:t>
            </w:r>
          </w:p>
        </w:tc>
        <w:tc>
          <w:tcPr>
            <w:tcW w:type="dxa" w:w="260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QStash / BullMQ</w:t>
            </w:r>
          </w:p>
        </w:tc>
        <w:tc>
          <w:tcPr>
            <w:tcW w:type="dxa" w:w="328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报价请求、通知、重算</w:t>
            </w:r>
          </w:p>
        </w:tc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指数退避 + 死信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R2</w:t>
            </w:r>
          </w:p>
        </w:tc>
        <w:tc>
          <w:tcPr>
            <w:tcW w:type="dxa" w:w="260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Cloudflare</w:t>
            </w:r>
          </w:p>
        </w:tc>
        <w:tc>
          <w:tcPr>
            <w:tcW w:type="dxa" w:w="328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收据、报价单、导出</w:t>
            </w:r>
          </w:p>
        </w:tc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签名 URL + 生命周期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4.3  </w:t>
      </w:r>
      <w:r>
        <w:rPr>
          <w:rFonts w:ascii="微软雅黑" w:hAnsi="微软雅黑" w:eastAsia="微软雅黑"/>
          <w:b/>
          <w:color w:val="1B1D18"/>
          <w:sz w:val="24"/>
        </w:rPr>
        <w:t>Monorepo 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411"/>
            <w:shd w:fill="F4F1E8"/>
            <w:tcBorders>
              <w:top w:val="single" w:sz="3" w:space="0" w:color="DED8C8"/>
              <w:left w:val="single" w:sz="3" w:space="0" w:color="DED8C8"/>
              <w:bottom w:val="single" w:sz="3" w:space="0" w:color="DED8C8"/>
              <w:right w:val="single" w:sz="3" w:space="0" w:color="DED8C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300" w:lineRule="auto"/>
            </w:pPr>
            <w:r>
              <w:rPr>
                <w:rFonts w:ascii="Consolas" w:hAnsi="Consolas" w:eastAsia="Consolas"/>
                <w:color w:val="1B1D18"/>
                <w:sz w:val="16"/>
              </w:rPr>
              <w:t>goldlens/</w:t>
              <w:br/>
              <w:t>├── apps/</w:t>
              <w:br/>
              <w:t>│   ├── web/                 # Next.js 16：消费者 + Dealer + Admin</w:t>
              <w:br/>
              <w:t>│   └── worker/              # 行情抓取、报价分发、提醒</w:t>
              <w:br/>
              <w:t>├── packages/</w:t>
              <w:br/>
              <w:t>│   ├── core/                # 纯计算、单位、规则、排名</w:t>
              <w:br/>
              <w:t>│   ├── db/                  # Drizzle schema、迁移、seed</w:t>
              <w:br/>
              <w:t>│   ├── ui/                  # 设计系统、shadcn 封装</w:t>
              <w:br/>
              <w:t>│   ├── config/              # 环境、常量、feature flags</w:t>
              <w:br/>
              <w:t>│   └── i18n/                # 文案、格式化、RTL</w:t>
              <w:br/>
              <w:t>├── infra/                   # IaC、监控、备份脚本</w:t>
              <w:br/>
              <w:t>├── docs/                    # 本方案、ADR、runbook</w:t>
              <w:br/>
              <w:t>└── tests/                   # 契约、E2E、视觉、压测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4.4  </w:t>
      </w:r>
      <w:r>
        <w:rPr>
          <w:rFonts w:ascii="微软雅黑" w:hAnsi="微软雅黑" w:eastAsia="微软雅黑"/>
          <w:b/>
          <w:color w:val="1B1D18"/>
          <w:sz w:val="24"/>
        </w:rPr>
        <w:t>环境与发布单元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4-3 · 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2948"/>
        <w:gridCol w:w="3175"/>
        <w:gridCol w:w="2041"/>
      </w:tblGrid>
      <w:tr>
        <w:trPr>
          <w:cantSplit/>
          <w:tblHeader/>
          <w:keepNext/>
        </w:trPr>
        <w:tc>
          <w:tcPr>
            <w:tcW w:type="dxa" w:w="1247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环境</w:t>
            </w:r>
          </w:p>
        </w:tc>
        <w:tc>
          <w:tcPr>
            <w:tcW w:type="dxa" w:w="2948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数据</w:t>
            </w:r>
          </w:p>
        </w:tc>
        <w:tc>
          <w:tcPr>
            <w:tcW w:type="dxa" w:w="3175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2041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访问</w:t>
            </w:r>
          </w:p>
        </w:tc>
      </w:tr>
      <w:tr>
        <w:trPr>
          <w:cantSplit/>
          <w:keepNext/>
        </w:trPr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local</w:t>
            </w:r>
          </w:p>
        </w:tc>
        <w:tc>
          <w:tcPr>
            <w:tcW w:type="dxa" w:w="294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seed + 公开快照</w:t>
            </w:r>
          </w:p>
        </w:tc>
        <w:tc>
          <w:tcPr>
            <w:tcW w:type="dxa" w:w="317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开发/单测</w:t>
            </w:r>
          </w:p>
        </w:tc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开发者</w:t>
            </w:r>
          </w:p>
        </w:tc>
      </w:tr>
      <w:tr>
        <w:trPr>
          <w:cantSplit/>
          <w:keepNext/>
        </w:trPr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preview</w:t>
            </w:r>
          </w:p>
        </w:tc>
        <w:tc>
          <w:tcPr>
            <w:tcW w:type="dxa" w:w="294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每次 PR 独立 DB schema</w:t>
            </w:r>
          </w:p>
        </w:tc>
        <w:tc>
          <w:tcPr>
            <w:tcW w:type="dxa" w:w="317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设计/验收/自动 E2E</w:t>
            </w:r>
          </w:p>
        </w:tc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团队 + 客户</w:t>
            </w:r>
          </w:p>
        </w:tc>
      </w:tr>
      <w:tr>
        <w:trPr>
          <w:cantSplit/>
          <w:keepNext/>
        </w:trPr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staging</w:t>
            </w:r>
          </w:p>
        </w:tc>
        <w:tc>
          <w:tcPr>
            <w:tcW w:type="dxa" w:w="294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脱敏副本</w:t>
            </w:r>
          </w:p>
        </w:tc>
        <w:tc>
          <w:tcPr>
            <w:tcW w:type="dxa" w:w="317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上线前回归/压测</w:t>
            </w:r>
          </w:p>
        </w:tc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团队</w:t>
            </w:r>
          </w:p>
        </w:tc>
      </w:tr>
      <w:tr>
        <w:trPr>
          <w:cantSplit/>
        </w:trPr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production</w:t>
            </w:r>
          </w:p>
        </w:tc>
        <w:tc>
          <w:tcPr>
            <w:tcW w:type="dxa" w:w="294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真实数据</w:t>
            </w:r>
          </w:p>
        </w:tc>
        <w:tc>
          <w:tcPr>
            <w:tcW w:type="dxa" w:w="317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公开运营</w:t>
            </w:r>
          </w:p>
        </w:tc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全员 + 审计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4.5  </w:t>
      </w:r>
      <w:r>
        <w:rPr>
          <w:rFonts w:ascii="微软雅黑" w:hAnsi="微软雅黑" w:eastAsia="微软雅黑"/>
          <w:b/>
          <w:color w:val="1B1D18"/>
          <w:sz w:val="24"/>
        </w:rPr>
        <w:t>三条关键请求路径</w:t>
      </w:r>
    </w:p>
    <w:p>
      <w:pPr>
        <w:spacing w:after="40" w:line="348" w:lineRule="auto"/>
        <w:ind w:left="425" w:hanging="255"/>
      </w:pPr>
      <w:r>
        <w:rPr>
          <w:rFonts w:ascii="Georgia" w:hAnsi="Georgia" w:eastAsia="Georgia"/>
          <w:b/>
          <w:color w:val="B8892E"/>
          <w:sz w:val="19"/>
        </w:rPr>
        <w:t xml:space="preserve">1.  </w:t>
      </w:r>
      <w:r>
        <w:rPr>
          <w:rFonts w:ascii="微软雅黑" w:hAnsi="微软雅黑" w:eastAsia="微软雅黑"/>
          <w:color w:val="1B1D18"/>
          <w:sz w:val="19"/>
        </w:rPr>
        <w:t>读价格：CDN → Edge → BFF → Redis（命中）→ 返回；未命中查 Postgres 最近快照，再异步刷新。</w:t>
      </w:r>
    </w:p>
    <w:p>
      <w:pPr>
        <w:spacing w:after="40" w:line="348" w:lineRule="auto"/>
        <w:ind w:left="425" w:hanging="255"/>
      </w:pPr>
      <w:r>
        <w:rPr>
          <w:rFonts w:ascii="Georgia" w:hAnsi="Georgia" w:eastAsia="Georgia"/>
          <w:b/>
          <w:color w:val="B8892E"/>
          <w:sz w:val="19"/>
        </w:rPr>
        <w:t xml:space="preserve">2.  </w:t>
      </w:r>
      <w:r>
        <w:rPr>
          <w:rFonts w:ascii="微软雅黑" w:hAnsi="微软雅黑" w:eastAsia="微软雅黑"/>
          <w:color w:val="1B1D18"/>
          <w:sz w:val="19"/>
        </w:rPr>
        <w:t>算账单：BFF 校验参数 → core 纯函数计算 → 返回 breakdown；不写库、不需要登录。</w:t>
      </w:r>
    </w:p>
    <w:p>
      <w:pPr>
        <w:spacing w:after="40" w:line="348" w:lineRule="auto"/>
        <w:ind w:left="425" w:hanging="255"/>
      </w:pPr>
      <w:r>
        <w:rPr>
          <w:rFonts w:ascii="Georgia" w:hAnsi="Georgia" w:eastAsia="Georgia"/>
          <w:b/>
          <w:color w:val="B8892E"/>
          <w:sz w:val="19"/>
        </w:rPr>
        <w:t xml:space="preserve">3.  </w:t>
      </w:r>
      <w:r>
        <w:rPr>
          <w:rFonts w:ascii="微软雅黑" w:hAnsi="微软雅黑" w:eastAsia="微软雅黑"/>
          <w:color w:val="1B1D18"/>
          <w:sz w:val="19"/>
        </w:rPr>
        <w:t>发报价：BFF 写 quote_request + 入队 → worker 分发给 dealer → dealer 提交 → 归一化/排名 → 用户看到对比。</w:t>
      </w:r>
    </w:p>
    <w:p>
      <w:pPr>
        <w:keepNext/>
        <w:spacing w:before="360" w:after="20"/>
      </w:pPr>
      <w:r>
        <w:rPr>
          <w:rFonts w:ascii="Georgia" w:hAnsi="Georgia" w:eastAsia="Georgia"/>
          <w:b/>
          <w:color w:val="B8892E"/>
          <w:sz w:val="19"/>
        </w:rPr>
        <w:t>05</w:t>
      </w:r>
    </w:p>
    <w:p>
      <w:pPr>
        <w:keepNext/>
        <w:spacing w:before="0" w:after="40"/>
      </w:pPr>
      <w:r>
        <w:rPr>
          <w:rFonts w:ascii="宋体" w:hAnsi="宋体" w:eastAsia="宋体"/>
          <w:b/>
          <w:color w:val="1B1D18"/>
          <w:sz w:val="46"/>
        </w:rPr>
        <w:t>技术栈</w:t>
      </w:r>
    </w:p>
    <w:p>
      <w:pPr>
        <w:keepNext/>
        <w:spacing w:after="200"/>
        <w:pBdr>
          <w:bottom w:val="single" w:sz="6" w:space="8" w:color="B8892E"/>
        </w:pBdr>
      </w:pPr>
      <w:r>
        <w:rPr>
          <w:rFonts w:ascii="微软雅黑" w:hAnsi="微软雅黑" w:eastAsia="微软雅黑"/>
          <w:color w:val="6F7468"/>
          <w:sz w:val="19"/>
        </w:rPr>
        <w:t>用一套类型系统，把前端、BFF、worker 和数据库连起来。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5.1  </w:t>
      </w:r>
      <w:r>
        <w:rPr>
          <w:rFonts w:ascii="微软雅黑" w:hAnsi="微软雅黑" w:eastAsia="微软雅黑"/>
          <w:b/>
          <w:color w:val="1B1D18"/>
          <w:sz w:val="24"/>
        </w:rPr>
        <w:t>前端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5-1 · 前端栈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835"/>
        <w:gridCol w:w="3061"/>
        <w:gridCol w:w="2381"/>
      </w:tblGrid>
      <w:tr>
        <w:trPr>
          <w:cantSplit/>
          <w:tblHeader/>
        </w:trPr>
        <w:tc>
          <w:tcPr>
            <w:tcW w:type="dxa" w:w="113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能力</w:t>
            </w:r>
          </w:p>
        </w:tc>
        <w:tc>
          <w:tcPr>
            <w:tcW w:type="dxa" w:w="2835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选择</w:t>
            </w:r>
          </w:p>
        </w:tc>
        <w:tc>
          <w:tcPr>
            <w:tcW w:type="dxa" w:w="3061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2381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注意</w:t>
            </w:r>
          </w:p>
        </w:tc>
      </w:tr>
      <w:tr>
        <w:trPr>
          <w:cantSpli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框架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Next.js 16 App Router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RSC、路由、ISR、BFF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避免把全部页面做成 client component</w:t>
            </w:r>
          </w:p>
        </w:tc>
      </w:tr>
      <w:tr>
        <w:trPr>
          <w:cantSpli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UI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React 19 + TypeScript strict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组件、并发、类型安全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禁止 any 进入 core</w:t>
            </w:r>
          </w:p>
        </w:tc>
      </w:tr>
      <w:tr>
        <w:trPr>
          <w:cantSpli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样式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Tailwind CSS v4 + CSS variables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设计 token、暗/亮主题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不要散落 magic color</w:t>
            </w:r>
          </w:p>
        </w:tc>
      </w:tr>
      <w:tr>
        <w:trPr>
          <w:cantSpli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组件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shadcn/ui + Radix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Dialog、Select、Tabs、Toast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二次封装成 GoldLens primitives</w:t>
            </w:r>
          </w:p>
        </w:tc>
      </w:tr>
      <w:tr>
        <w:trPr>
          <w:cantSpli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数据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TanStack Query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客户端缓存、重试、乐观更新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价格用 SSE 推送，不轮询</w:t>
            </w:r>
          </w:p>
        </w:tc>
      </w:tr>
      <w:tr>
        <w:trPr>
          <w:cantSpli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表单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React Hook Form + Zod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计算器/报价/登录表单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前后端共用 schema</w:t>
            </w:r>
          </w:p>
        </w:tc>
      </w:tr>
      <w:tr>
        <w:trPr>
          <w:cantSpli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图表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Recharts / visx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价格、成本瀑布、区间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首屏不加载大图表库</w:t>
            </w:r>
          </w:p>
        </w:tc>
      </w:tr>
      <w:tr>
        <w:trPr>
          <w:cantSpli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动效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Motion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页面转场、数字滚动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尊重 prefers-reduced-motion</w:t>
            </w:r>
          </w:p>
        </w:tc>
      </w:tr>
      <w:tr>
        <w:trPr>
          <w:cantSpli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国际化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next-intl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zh/en/th/ar、RTL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文案不写在组件里</w:t>
            </w:r>
          </w:p>
        </w:tc>
      </w:tr>
      <w:tr>
        <w:trPr>
          <w:cantSpli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PWA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Serwist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离线 shell、安装、缓存策略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API 不做 cache-first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5.2  </w:t>
      </w:r>
      <w:r>
        <w:rPr>
          <w:rFonts w:ascii="微软雅黑" w:hAnsi="微软雅黑" w:eastAsia="微软雅黑"/>
          <w:b/>
          <w:color w:val="1B1D18"/>
          <w:sz w:val="24"/>
        </w:rPr>
        <w:t>后端与数据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5-2 · 后端栈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402"/>
        <w:gridCol w:w="4535"/>
      </w:tblGrid>
      <w:tr>
        <w:trPr>
          <w:cantSplit/>
          <w:tblHeader/>
          <w:keepNext/>
        </w:trPr>
        <w:tc>
          <w:tcPr>
            <w:tcW w:type="dxa" w:w="147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能力</w:t>
            </w:r>
          </w:p>
        </w:tc>
        <w:tc>
          <w:tcPr>
            <w:tcW w:type="dxa" w:w="3402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选择</w:t>
            </w:r>
          </w:p>
        </w:tc>
        <w:tc>
          <w:tcPr>
            <w:tcW w:type="dxa" w:w="4535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用途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API/BFF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Next.js Route Handlers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REST v1、SSE、webhook、文件签名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校验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Zod + OpenAPI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请求/响应契约、SDK 生成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ORM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Drizzle ORM + drizzle-kit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类型安全 SQL、迁移、seed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数据库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PostgreSQL 17（Neon）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事实源、分区、PITR、只读副本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缓存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Upstash Redis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价格缓存、限流、幂等键、会话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队列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QStash / BullMQ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报价分发、提醒、重算、导出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对象存储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Cloudflare R2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收据、报价单、导出、图片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Worker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Node 24 + TypeScript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抓取、归一化、通知、排名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5.3  </w:t>
      </w:r>
      <w:r>
        <w:rPr>
          <w:rFonts w:ascii="微软雅黑" w:hAnsi="微软雅黑" w:eastAsia="微软雅黑"/>
          <w:b/>
          <w:color w:val="1B1D18"/>
          <w:sz w:val="24"/>
        </w:rPr>
        <w:t>认证、支付与通知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5-3 · 外部能力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2835"/>
        <w:gridCol w:w="3061"/>
        <w:gridCol w:w="2041"/>
      </w:tblGrid>
      <w:tr>
        <w:trPr>
          <w:cantSplit/>
          <w:tblHeader/>
          <w:keepNext/>
        </w:trPr>
        <w:tc>
          <w:tcPr>
            <w:tcW w:type="dxa" w:w="147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能力</w:t>
            </w:r>
          </w:p>
        </w:tc>
        <w:tc>
          <w:tcPr>
            <w:tcW w:type="dxa" w:w="2835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选择</w:t>
            </w:r>
          </w:p>
        </w:tc>
        <w:tc>
          <w:tcPr>
            <w:tcW w:type="dxa" w:w="3061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首期范围</w:t>
            </w:r>
          </w:p>
        </w:tc>
        <w:tc>
          <w:tcPr>
            <w:tcW w:type="dxa" w:w="2041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后续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认证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Auth.js v5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Google/Apple/Email magic link</w:t>
            </w:r>
          </w:p>
        </w:tc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Phone OTP、Passkey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订阅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Stripe Billing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Pro 月/年付、发票、webhook</w:t>
            </w:r>
          </w:p>
        </w:tc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本地支付方式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泰国支付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Omise / Stripe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PromptPay、卡</w:t>
            </w:r>
          </w:p>
        </w:tc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TrueMoney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邮件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Resend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登录、提醒、收据</w:t>
            </w:r>
          </w:p>
        </w:tc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模板本地化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推送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Web Push（VAPID）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价格提醒</w:t>
            </w:r>
          </w:p>
        </w:tc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iOS PWA 限制处理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即时消息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LINE Messaging API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泰国提醒/分享</w:t>
            </w:r>
          </w:p>
        </w:tc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WhatsApp Cloud API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客服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Intercom / Crisp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帮助中心、工单</w:t>
            </w:r>
          </w:p>
        </w:tc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Dealer 专属 SLA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5.4  </w:t>
      </w:r>
      <w:r>
        <w:rPr>
          <w:rFonts w:ascii="微软雅黑" w:hAnsi="微软雅黑" w:eastAsia="微软雅黑"/>
          <w:b/>
          <w:color w:val="1B1D18"/>
          <w:sz w:val="24"/>
        </w:rPr>
        <w:t>可观测性与分析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5-4 · 观测栈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402"/>
        <w:gridCol w:w="4535"/>
      </w:tblGrid>
      <w:tr>
        <w:trPr>
          <w:cantSplit/>
          <w:tblHeader/>
          <w:keepNext/>
        </w:trPr>
        <w:tc>
          <w:tcPr>
            <w:tcW w:type="dxa" w:w="147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层</w:t>
            </w:r>
          </w:p>
        </w:tc>
        <w:tc>
          <w:tcPr>
            <w:tcW w:type="dxa" w:w="3402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工具</w:t>
            </w:r>
          </w:p>
        </w:tc>
        <w:tc>
          <w:tcPr>
            <w:tcW w:type="dxa" w:w="4535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用途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错误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Sentry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前端/后端异常、release 关联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指标/追踪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OpenTelemetry + Axiom/Grafana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p95、错误率、队列积压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合成监控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Checkly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关键路径每分钟探测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产品分析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PostHog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漏斗、cohort、实验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日志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结构化 JSON + trace_id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请求链路、审计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告警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PagerDuty / Slack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SLO 燃烧率、数据源失败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5.5  </w:t>
      </w:r>
      <w:r>
        <w:rPr>
          <w:rFonts w:ascii="微软雅黑" w:hAnsi="微软雅黑" w:eastAsia="微软雅黑"/>
          <w:b/>
          <w:color w:val="1B1D18"/>
          <w:sz w:val="24"/>
        </w:rPr>
        <w:t>工程工具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包管理：pnpm + Turborepo；锁文件提交，CI 使用 frozen lockfile。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代码质量：TypeScript strict、Biome（lint+format）、import 边界规则。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测试：Vitest、Testing Library、Playwright、axe、k6。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提交：Conventional Commits、Changesets、release-please。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安全：Dependabot、CodeQL、secret scanning、npm audit（仅阻断 high）。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文档：ADR、OpenAPI、Storybook、runbook。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5.6  </w:t>
      </w:r>
      <w:r>
        <w:rPr>
          <w:rFonts w:ascii="微软雅黑" w:hAnsi="微软雅黑" w:eastAsia="微软雅黑"/>
          <w:b/>
          <w:color w:val="1B1D18"/>
          <w:sz w:val="24"/>
        </w:rPr>
        <w:t>版本与升级策略</w:t>
      </w:r>
    </w:p>
    <w:p>
      <w:pPr>
        <w:spacing w:after="100" w:line="341" w:lineRule="auto"/>
      </w:pPr>
      <w:r>
        <w:rPr>
          <w:rFonts w:ascii="微软雅黑" w:hAnsi="微软雅黑" w:eastAsia="微软雅黑"/>
          <w:color w:val="1B1D18"/>
          <w:sz w:val="20"/>
        </w:rPr>
        <w:t>每季度一次依赖升级窗口；Next.js/React/Postgres 只升一个 major，先在 preview 跑 1 周。所有第三方 SDK 用适配器隔离，避免供应商锁定。Node 版本固定在 24 LTS，CI 与生产一致。</w:t>
      </w:r>
    </w:p>
    <w:p>
      <w:pPr>
        <w:keepNext/>
        <w:spacing w:before="360" w:after="20"/>
      </w:pPr>
      <w:r>
        <w:rPr>
          <w:rFonts w:ascii="Georgia" w:hAnsi="Georgia" w:eastAsia="Georgia"/>
          <w:b/>
          <w:color w:val="B8892E"/>
          <w:sz w:val="19"/>
        </w:rPr>
        <w:t>06</w:t>
      </w:r>
    </w:p>
    <w:p>
      <w:pPr>
        <w:keepNext/>
        <w:spacing w:before="0" w:after="40"/>
      </w:pPr>
      <w:r>
        <w:rPr>
          <w:rFonts w:ascii="宋体" w:hAnsi="宋体" w:eastAsia="宋体"/>
          <w:b/>
          <w:color w:val="1B1D18"/>
          <w:sz w:val="46"/>
        </w:rPr>
        <w:t>数据架构</w:t>
      </w:r>
    </w:p>
    <w:p>
      <w:pPr>
        <w:keepNext/>
        <w:spacing w:after="200"/>
        <w:pBdr>
          <w:bottom w:val="single" w:sz="6" w:space="8" w:color="B8892E"/>
        </w:pBdr>
      </w:pPr>
      <w:r>
        <w:rPr>
          <w:rFonts w:ascii="微软雅黑" w:hAnsi="微软雅黑" w:eastAsia="微软雅黑"/>
          <w:color w:val="6F7468"/>
          <w:sz w:val="19"/>
        </w:rPr>
        <w:t>价格不是一条记录，而是一条有来源、有时间的证据链。</w:t>
      </w:r>
    </w:p>
    <w:p>
      <w:pPr>
        <w:spacing w:after="100" w:line="341" w:lineRule="auto"/>
      </w:pPr>
      <w:r>
        <w:rPr>
          <w:rFonts w:ascii="微软雅黑" w:hAnsi="微软雅黑" w:eastAsia="微软雅黑"/>
          <w:color w:val="1B1D18"/>
          <w:sz w:val="20"/>
        </w:rPr>
        <w:t>GoldLens 的数据模型以“可追溯的价格”为中心：价格快照保留来源、抓取时间、置信度；门店报价保留有效期、验证状态与排名理由；用户持仓保留成本、来源与收据。所有金额、重量、纯度都有规范单位，展示层再做本地化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641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mod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41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微软雅黑" w:hAnsi="微软雅黑" w:eastAsia="微软雅黑"/>
          <w:color w:val="6F7468"/>
          <w:sz w:val="15"/>
        </w:rPr>
        <w:t>图 6-1 · 核心数据模型：用户、市场、价格快照、门店报价、持仓、提醒与审计。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6.1  </w:t>
      </w:r>
      <w:r>
        <w:rPr>
          <w:rFonts w:ascii="微软雅黑" w:hAnsi="微软雅黑" w:eastAsia="微软雅黑"/>
          <w:b/>
          <w:color w:val="1B1D18"/>
          <w:sz w:val="24"/>
        </w:rPr>
        <w:t>规范单位与金额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6-1 · 数据规范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3969"/>
        <w:gridCol w:w="2381"/>
        <w:gridCol w:w="1701"/>
      </w:tblGrid>
      <w:tr>
        <w:trPr>
          <w:cantSplit/>
          <w:tblHeader/>
          <w:keepNext/>
        </w:trPr>
        <w:tc>
          <w:tcPr>
            <w:tcW w:type="dxa" w:w="1361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3969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规范</w:t>
            </w:r>
          </w:p>
        </w:tc>
        <w:tc>
          <w:tcPr>
            <w:tcW w:type="dxa" w:w="2381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示例</w:t>
            </w:r>
          </w:p>
        </w:tc>
        <w:tc>
          <w:tcPr>
            <w:tcW w:type="dxa" w:w="1701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禁止</w:t>
            </w:r>
          </w:p>
        </w:tc>
      </w:tr>
      <w:tr>
        <w:trPr>
          <w:cantSplit/>
          <w:keepNext/>
        </w:trPr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重量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weight_g numeric(18,6)，克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15.244000</w:t>
            </w:r>
          </w:p>
        </w:tc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在 DB 存 baht/tola</w:t>
            </w:r>
          </w:p>
        </w:tc>
      </w:tr>
      <w:tr>
        <w:trPr>
          <w:cantSplit/>
          <w:keepNext/>
        </w:trPr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纯度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purity numeric(6,5)，0–1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0.96500</w:t>
            </w:r>
          </w:p>
        </w:tc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存 “96.5%” 字符串</w:t>
            </w:r>
          </w:p>
        </w:tc>
      </w:tr>
      <w:tr>
        <w:trPr>
          <w:cantSplit/>
          <w:keepNext/>
        </w:trPr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金额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amount_minor bigint + currency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6500000 THB minor</w:t>
            </w:r>
          </w:p>
        </w:tc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float/double</w:t>
            </w:r>
          </w:p>
        </w:tc>
      </w:tr>
      <w:tr>
        <w:trPr>
          <w:cantSplit/>
          <w:keepNext/>
        </w:trPr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价格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price numeric(18,6) + quote_currency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4024.10 USD/oz</w:t>
            </w:r>
          </w:p>
        </w:tc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混用盎司/克</w:t>
            </w:r>
          </w:p>
        </w:tc>
      </w:tr>
      <w:tr>
        <w:trPr>
          <w:cantSplit/>
          <w:keepNext/>
        </w:trPr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时间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timestamptz，UTC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2026-10-23T05:11:00Z</w:t>
            </w:r>
          </w:p>
        </w:tc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本地时间无时区</w:t>
            </w:r>
          </w:p>
        </w:tc>
      </w:tr>
      <w:tr>
        <w:trPr>
          <w:cantSplit/>
        </w:trPr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单位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unit enum: g / baht / tola / oz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baht</w:t>
            </w:r>
          </w:p>
        </w:tc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前端自由字符串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6.2  </w:t>
      </w:r>
      <w:r>
        <w:rPr>
          <w:rFonts w:ascii="微软雅黑" w:hAnsi="微软雅黑" w:eastAsia="微软雅黑"/>
          <w:b/>
          <w:color w:val="1B1D18"/>
          <w:sz w:val="24"/>
        </w:rPr>
        <w:t>核心表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6-2 · 核心表与关键字段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928"/>
        <w:gridCol w:w="4082"/>
        <w:gridCol w:w="1814"/>
      </w:tblGrid>
      <w:tr>
        <w:trPr>
          <w:cantSplit/>
          <w:tblHeader/>
        </w:trPr>
        <w:tc>
          <w:tcPr>
            <w:tcW w:type="dxa" w:w="1587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表</w:t>
            </w:r>
          </w:p>
        </w:tc>
        <w:tc>
          <w:tcPr>
            <w:tcW w:type="dxa" w:w="1928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作用</w:t>
            </w:r>
          </w:p>
        </w:tc>
        <w:tc>
          <w:tcPr>
            <w:tcW w:type="dxa" w:w="4082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关键字段</w:t>
            </w:r>
          </w:p>
        </w:tc>
        <w:tc>
          <w:tcPr>
            <w:tcW w:type="dxa" w:w="181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索引/约束</w:t>
            </w:r>
          </w:p>
        </w:tc>
      </w:tr>
      <w:tr>
        <w:trPr>
          <w:cantSplit/>
        </w:trPr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users</w:t>
            </w:r>
          </w:p>
        </w:tc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账户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id, email, locale, created_at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unique(email)</w:t>
            </w:r>
          </w:p>
        </w:tc>
      </w:tr>
      <w:tr>
        <w:trPr>
          <w:cantSplit/>
        </w:trPr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profiles</w:t>
            </w:r>
          </w:p>
        </w:tc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偏好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user_id, market, goal, units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unique(user_id)</w:t>
            </w:r>
          </w:p>
        </w:tc>
      </w:tr>
      <w:tr>
        <w:trPr>
          <w:cantSplit/>
        </w:trPr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markets</w:t>
            </w:r>
          </w:p>
        </w:tc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市场规则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code, currency, tax_rule, active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unique(code)</w:t>
            </w:r>
          </w:p>
        </w:tc>
      </w:tr>
      <w:tr>
        <w:trPr>
          <w:cantSplit/>
        </w:trPr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price_snapshots</w:t>
            </w:r>
          </w:p>
        </w:tc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价格快照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market, source, price, unit, observed_at, confidence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(market, observed_at desc)</w:t>
            </w:r>
          </w:p>
        </w:tc>
      </w:tr>
      <w:tr>
        <w:trPr>
          <w:cantSplit/>
        </w:trPr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dealers</w:t>
            </w:r>
          </w:p>
        </w:tc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经销商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name, status, city, verified_at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index(city, status)</w:t>
            </w:r>
          </w:p>
        </w:tc>
      </w:tr>
      <w:tr>
        <w:trPr>
          <w:cantSplit/>
        </w:trPr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dealer_branches</w:t>
            </w:r>
          </w:p>
        </w:tc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门店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dealer_id, geo, hours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gist(geo)</w:t>
            </w:r>
          </w:p>
        </w:tc>
      </w:tr>
      <w:tr>
        <w:trPr>
          <w:cantSplit/>
        </w:trPr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dealer_quotes</w:t>
            </w:r>
          </w:p>
        </w:tc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门店报价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dealer_id, purity, buy/sell, making, tax, expires_at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(dealer_id, expires_at)</w:t>
            </w:r>
          </w:p>
        </w:tc>
      </w:tr>
      <w:tr>
        <w:trPr>
          <w:cantSplit/>
        </w:trPr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quote_requests</w:t>
            </w:r>
          </w:p>
        </w:tc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用户询价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user_id, market, weight_g, purity, status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(user_id, created_at)</w:t>
            </w:r>
          </w:p>
        </w:tc>
      </w:tr>
      <w:tr>
        <w:trPr>
          <w:cantSplit/>
        </w:trPr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quote_rankings</w:t>
            </w:r>
          </w:p>
        </w:tc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排名快照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quote_id, score, reasons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unique(quote_id)</w:t>
            </w:r>
          </w:p>
        </w:tc>
      </w:tr>
      <w:tr>
        <w:trPr>
          <w:cantSplit/>
        </w:trPr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holdings</w:t>
            </w:r>
          </w:p>
        </w:tc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持仓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user_id, grams, purity, cost_minor, dealer_id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(user_id)</w:t>
            </w:r>
          </w:p>
        </w:tc>
      </w:tr>
      <w:tr>
        <w:trPr>
          <w:cantSplit/>
        </w:trPr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alerts</w:t>
            </w:r>
          </w:p>
        </w:tc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提醒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user_id, metric, comparator, threshold, channels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(user_id, status)</w:t>
            </w:r>
          </w:p>
        </w:tc>
      </w:tr>
      <w:tr>
        <w:trPr>
          <w:cantSplit/>
        </w:trPr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subscriptions</w:t>
            </w:r>
          </w:p>
        </w:tc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订阅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user_id, plan, status, period_end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(user_id, status)</w:t>
            </w:r>
          </w:p>
        </w:tc>
      </w:tr>
      <w:tr>
        <w:trPr>
          <w:cantSplit/>
        </w:trPr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audit_logs</w:t>
            </w:r>
          </w:p>
        </w:tc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审计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actor, action, entity, before/after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(entity, created_at)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6.3  </w:t>
      </w:r>
      <w:r>
        <w:rPr>
          <w:rFonts w:ascii="微软雅黑" w:hAnsi="微软雅黑" w:eastAsia="微软雅黑"/>
          <w:b/>
          <w:color w:val="1B1D18"/>
          <w:sz w:val="24"/>
        </w:rPr>
        <w:t>价格快照</w:t>
      </w:r>
    </w:p>
    <w:p>
      <w:pPr>
        <w:spacing w:after="100" w:line="341" w:lineRule="auto"/>
      </w:pPr>
      <w:r>
        <w:rPr>
          <w:rFonts w:ascii="微软雅黑" w:hAnsi="微软雅黑" w:eastAsia="微软雅黑"/>
          <w:color w:val="1B1D18"/>
          <w:sz w:val="20"/>
        </w:rPr>
        <w:t>价格快照是 append-only 的。每次抓取写一条，不做 update；对外只读“最新有效快照”。这样可以回溯“当时为什么算出这个价”，也可以做数据质量分析。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411"/>
            <w:shd w:fill="F4F1E8"/>
            <w:tcBorders>
              <w:top w:val="single" w:sz="3" w:space="0" w:color="DED8C8"/>
              <w:left w:val="single" w:sz="3" w:space="0" w:color="DED8C8"/>
              <w:bottom w:val="single" w:sz="3" w:space="0" w:color="DED8C8"/>
              <w:right w:val="single" w:sz="3" w:space="0" w:color="DED8C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300" w:lineRule="auto"/>
            </w:pPr>
            <w:r>
              <w:rPr>
                <w:rFonts w:ascii="Consolas" w:hAnsi="Consolas" w:eastAsia="Consolas"/>
                <w:color w:val="1B1D18"/>
                <w:sz w:val="16"/>
              </w:rPr>
              <w:t>price_snapshots</w:t>
              <w:br/>
              <w:t xml:space="preserve">  id              uuid pk</w:t>
              <w:br/>
              <w:t xml:space="preserve">  market_code     text fk markets.code</w:t>
              <w:br/>
              <w:t xml:space="preserve">  source          text            -- gold-api / gta / dealer_x</w:t>
              <w:br/>
              <w:t xml:space="preserve">  source_url      text</w:t>
              <w:br/>
              <w:t xml:space="preserve">  kind            text            -- spot / local_bar / local_ornament / fx</w:t>
              <w:br/>
              <w:t xml:space="preserve">  price           numeric(18,6)</w:t>
              <w:br/>
              <w:t xml:space="preserve">  currency        char(3)</w:t>
              <w:br/>
              <w:t xml:space="preserve">  unit            text            -- oz / g / baht / tola</w:t>
              <w:br/>
              <w:t xml:space="preserve">  purity          numeric(6,5)</w:t>
              <w:br/>
              <w:t xml:space="preserve">  observed_at     timestamptz</w:t>
              <w:br/>
              <w:t xml:space="preserve">  ingested_at     timestamptz</w:t>
              <w:br/>
              <w:t xml:space="preserve">  confidence      numeric(4,3)    -- 0–1</w:t>
              <w:br/>
              <w:t xml:space="preserve">  raw_payload     jsonb</w:t>
              <w:br/>
              <w:t xml:space="preserve">  checksum        text</w:t>
              <w:br/>
              <w:t xml:space="preserve">  created_at      timestamptz default now()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6.4  </w:t>
      </w:r>
      <w:r>
        <w:rPr>
          <w:rFonts w:ascii="微软雅黑" w:hAnsi="微软雅黑" w:eastAsia="微软雅黑"/>
          <w:b/>
          <w:color w:val="1B1D18"/>
          <w:sz w:val="24"/>
        </w:rPr>
        <w:t>门店报价</w:t>
      </w:r>
    </w:p>
    <w:p>
      <w:pPr>
        <w:spacing w:after="100" w:line="341" w:lineRule="auto"/>
      </w:pPr>
      <w:r>
        <w:rPr>
          <w:rFonts w:ascii="微软雅黑" w:hAnsi="微软雅黑" w:eastAsia="微软雅黑"/>
          <w:color w:val="1B1D18"/>
          <w:sz w:val="20"/>
        </w:rPr>
        <w:t>门店报价不是“价格表”，而是一份有有效期的商业要约。每条报价必须能回答：谁报的、什么时候有效、含不含工费/税、回购价是多少、是否验证过。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411"/>
            <w:shd w:fill="F4F1E8"/>
            <w:tcBorders>
              <w:top w:val="single" w:sz="3" w:space="0" w:color="DED8C8"/>
              <w:left w:val="single" w:sz="3" w:space="0" w:color="DED8C8"/>
              <w:bottom w:val="single" w:sz="3" w:space="0" w:color="DED8C8"/>
              <w:right w:val="single" w:sz="3" w:space="0" w:color="DED8C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300" w:lineRule="auto"/>
            </w:pPr>
            <w:r>
              <w:rPr>
                <w:rFonts w:ascii="Consolas" w:hAnsi="Consolas" w:eastAsia="Consolas"/>
                <w:color w:val="1B1D18"/>
                <w:sz w:val="16"/>
              </w:rPr>
              <w:t>dealer_quotes</w:t>
              <w:br/>
              <w:t xml:space="preserve">  id              uuid pk</w:t>
              <w:br/>
              <w:t xml:space="preserve">  dealer_id       uuid fk dealers.id</w:t>
              <w:br/>
              <w:t xml:space="preserve">  branch_id       uuid fk dealer_branches.id</w:t>
              <w:br/>
              <w:t xml:space="preserve">  market_code     text</w:t>
              <w:br/>
              <w:t xml:space="preserve">  product_type    text            -- bar / jewelry / coin</w:t>
              <w:br/>
              <w:t xml:space="preserve">  purity          numeric(6,5)</w:t>
              <w:br/>
              <w:t xml:space="preserve">  weight_g        numeric(18,6)</w:t>
              <w:br/>
              <w:t xml:space="preserve">  sell_price_minor bigint</w:t>
              <w:br/>
              <w:t xml:space="preserve">  buyback_minor   bigint</w:t>
              <w:br/>
              <w:t xml:space="preserve">  making_charge_bps integer       -- 基点，避免浮点</w:t>
              <w:br/>
              <w:t xml:space="preserve">  tax_bps         integer</w:t>
              <w:br/>
              <w:t xml:space="preserve">  currency        char(3)</w:t>
              <w:br/>
              <w:t xml:space="preserve">  effective_at    timestamptz</w:t>
              <w:br/>
              <w:t xml:space="preserve">  expires_at      timestamptz</w:t>
              <w:br/>
              <w:t xml:space="preserve">  verification    text            -- self_reported / verified / audited</w:t>
              <w:br/>
              <w:t xml:space="preserve">  source          text            -- portal / csv / api</w:t>
              <w:br/>
              <w:t xml:space="preserve">  notes           text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6.5  </w:t>
      </w:r>
      <w:r>
        <w:rPr>
          <w:rFonts w:ascii="微软雅黑" w:hAnsi="微软雅黑" w:eastAsia="微软雅黑"/>
          <w:b/>
          <w:color w:val="1B1D18"/>
          <w:sz w:val="24"/>
        </w:rPr>
        <w:t>数据接入管线</w:t>
      </w:r>
    </w:p>
    <w:p>
      <w:pPr>
        <w:spacing w:after="40" w:line="348" w:lineRule="auto"/>
        <w:ind w:left="425" w:hanging="255"/>
      </w:pPr>
      <w:r>
        <w:rPr>
          <w:rFonts w:ascii="Georgia" w:hAnsi="Georgia" w:eastAsia="Georgia"/>
          <w:b/>
          <w:color w:val="B8892E"/>
          <w:sz w:val="19"/>
        </w:rPr>
        <w:t xml:space="preserve">1.  </w:t>
      </w:r>
      <w:r>
        <w:rPr>
          <w:rFonts w:ascii="微软雅黑" w:hAnsi="微软雅黑" w:eastAsia="微软雅黑"/>
          <w:color w:val="1B1D18"/>
          <w:sz w:val="19"/>
        </w:rPr>
        <w:t>Scheduler：spot 每 60 秒，FX 每小时，GTA 每 5 分钟，Dealer feed 每 15 分钟；全部带 jitter。</w:t>
      </w:r>
    </w:p>
    <w:p>
      <w:pPr>
        <w:spacing w:after="40" w:line="348" w:lineRule="auto"/>
        <w:ind w:left="425" w:hanging="255"/>
      </w:pPr>
      <w:r>
        <w:rPr>
          <w:rFonts w:ascii="Georgia" w:hAnsi="Georgia" w:eastAsia="Georgia"/>
          <w:b/>
          <w:color w:val="B8892E"/>
          <w:sz w:val="19"/>
        </w:rPr>
        <w:t xml:space="preserve">2.  </w:t>
      </w:r>
      <w:r>
        <w:rPr>
          <w:rFonts w:ascii="微软雅黑" w:hAnsi="微软雅黑" w:eastAsia="微软雅黑"/>
          <w:color w:val="1B1D18"/>
          <w:sz w:val="19"/>
        </w:rPr>
        <w:t>Fetch：每个 source 独立 adapter，统一输出 RawPrice；超时 8 秒、重试 3 次、指数退避。</w:t>
      </w:r>
    </w:p>
    <w:p>
      <w:pPr>
        <w:spacing w:after="40" w:line="348" w:lineRule="auto"/>
        <w:ind w:left="425" w:hanging="255"/>
      </w:pPr>
      <w:r>
        <w:rPr>
          <w:rFonts w:ascii="Georgia" w:hAnsi="Georgia" w:eastAsia="Georgia"/>
          <w:b/>
          <w:color w:val="B8892E"/>
          <w:sz w:val="19"/>
        </w:rPr>
        <w:t xml:space="preserve">3.  </w:t>
      </w:r>
      <w:r>
        <w:rPr>
          <w:rFonts w:ascii="微软雅黑" w:hAnsi="微软雅黑" w:eastAsia="微软雅黑"/>
          <w:color w:val="1B1D18"/>
          <w:sz w:val="19"/>
        </w:rPr>
        <w:t>Normalize：单位/纯度/币种归一化到克、0–1、ISO 货币；记录原始 payload 与 checksum。</w:t>
      </w:r>
    </w:p>
    <w:p>
      <w:pPr>
        <w:spacing w:after="40" w:line="348" w:lineRule="auto"/>
        <w:ind w:left="425" w:hanging="255"/>
      </w:pPr>
      <w:r>
        <w:rPr>
          <w:rFonts w:ascii="Georgia" w:hAnsi="Georgia" w:eastAsia="Georgia"/>
          <w:b/>
          <w:color w:val="B8892E"/>
          <w:sz w:val="19"/>
        </w:rPr>
        <w:t xml:space="preserve">4.  </w:t>
      </w:r>
      <w:r>
        <w:rPr>
          <w:rFonts w:ascii="微软雅黑" w:hAnsi="微软雅黑" w:eastAsia="微软雅黑"/>
          <w:color w:val="1B1D18"/>
          <w:sz w:val="19"/>
        </w:rPr>
        <w:t>Validate：非空、正数、时间新鲜、跨源偏差、异常跳变；不通过进 quarantine。</w:t>
      </w:r>
    </w:p>
    <w:p>
      <w:pPr>
        <w:spacing w:after="40" w:line="348" w:lineRule="auto"/>
        <w:ind w:left="425" w:hanging="255"/>
      </w:pPr>
      <w:r>
        <w:rPr>
          <w:rFonts w:ascii="Georgia" w:hAnsi="Georgia" w:eastAsia="Georgia"/>
          <w:b/>
          <w:color w:val="B8892E"/>
          <w:sz w:val="19"/>
        </w:rPr>
        <w:t xml:space="preserve">5.  </w:t>
      </w:r>
      <w:r>
        <w:rPr>
          <w:rFonts w:ascii="微软雅黑" w:hAnsi="微软雅黑" w:eastAsia="微软雅黑"/>
          <w:color w:val="1B1D18"/>
          <w:sz w:val="19"/>
        </w:rPr>
        <w:t>Persist：append-only 写 price_snapshots；冲突用 (source, observed_at) 幂等。</w:t>
      </w:r>
    </w:p>
    <w:p>
      <w:pPr>
        <w:spacing w:after="40" w:line="348" w:lineRule="auto"/>
        <w:ind w:left="425" w:hanging="255"/>
      </w:pPr>
      <w:r>
        <w:rPr>
          <w:rFonts w:ascii="Georgia" w:hAnsi="Georgia" w:eastAsia="Georgia"/>
          <w:b/>
          <w:color w:val="B8892E"/>
          <w:sz w:val="19"/>
        </w:rPr>
        <w:t xml:space="preserve">6.  </w:t>
      </w:r>
      <w:r>
        <w:rPr>
          <w:rFonts w:ascii="微软雅黑" w:hAnsi="微软雅黑" w:eastAsia="微软雅黑"/>
          <w:color w:val="1B1D18"/>
          <w:sz w:val="19"/>
        </w:rPr>
        <w:t>Publish：刷新 Redis、发事件、更新 SSE；失败重试 + DLQ。</w:t>
      </w:r>
    </w:p>
    <w:p>
      <w:pPr>
        <w:spacing w:after="40" w:line="348" w:lineRule="auto"/>
        <w:ind w:left="425" w:hanging="255"/>
      </w:pPr>
      <w:r>
        <w:rPr>
          <w:rFonts w:ascii="Georgia" w:hAnsi="Georgia" w:eastAsia="Georgia"/>
          <w:b/>
          <w:color w:val="B8892E"/>
          <w:sz w:val="19"/>
        </w:rPr>
        <w:t xml:space="preserve">7.  </w:t>
      </w:r>
      <w:r>
        <w:rPr>
          <w:rFonts w:ascii="微软雅黑" w:hAnsi="微软雅黑" w:eastAsia="微软雅黑"/>
          <w:color w:val="1B1D18"/>
          <w:sz w:val="19"/>
        </w:rPr>
        <w:t>Observe：source health、freshness、outlier rate、DLQ 深度进仪表盘。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6.6  </w:t>
      </w:r>
      <w:r>
        <w:rPr>
          <w:rFonts w:ascii="微软雅黑" w:hAnsi="微软雅黑" w:eastAsia="微软雅黑"/>
          <w:b/>
          <w:color w:val="1B1D18"/>
          <w:sz w:val="24"/>
        </w:rPr>
        <w:t>新鲜度与数据质量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6-3 · 数据 SLO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928"/>
        <w:gridCol w:w="1814"/>
        <w:gridCol w:w="3061"/>
      </w:tblGrid>
      <w:tr>
        <w:trPr>
          <w:cantSplit/>
          <w:tblHeader/>
          <w:keepNext/>
        </w:trPr>
        <w:tc>
          <w:tcPr>
            <w:tcW w:type="dxa" w:w="2268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数据</w:t>
            </w:r>
          </w:p>
        </w:tc>
        <w:tc>
          <w:tcPr>
            <w:tcW w:type="dxa" w:w="1928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目标新鲜度</w:t>
            </w:r>
          </w:p>
        </w:tc>
        <w:tc>
          <w:tcPr>
            <w:tcW w:type="dxa" w:w="181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告警阈值</w:t>
            </w:r>
          </w:p>
        </w:tc>
        <w:tc>
          <w:tcPr>
            <w:tcW w:type="dxa" w:w="3061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降级</w:t>
            </w:r>
          </w:p>
        </w:tc>
      </w:tr>
      <w:tr>
        <w:trPr>
          <w:cantSplit/>
          <w:keepNext/>
        </w:trPr>
        <w:tc>
          <w:tcPr>
            <w:tcW w:type="dxa" w:w="226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XAU/USD spot</w:t>
            </w:r>
          </w:p>
        </w:tc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&lt; 60s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&gt; 3min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显示最近快照 + “延迟”</w:t>
            </w:r>
          </w:p>
        </w:tc>
      </w:tr>
      <w:tr>
        <w:trPr>
          <w:cantSplit/>
          <w:keepNext/>
        </w:trPr>
        <w:tc>
          <w:tcPr>
            <w:tcW w:type="dxa" w:w="226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USD/THB / AED / INR</w:t>
            </w:r>
          </w:p>
        </w:tc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&lt; 2h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&gt; 12h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使用上一日中间价</w:t>
            </w:r>
          </w:p>
        </w:tc>
      </w:tr>
      <w:tr>
        <w:trPr>
          <w:cantSplit/>
          <w:keepNext/>
        </w:trPr>
        <w:tc>
          <w:tcPr>
            <w:tcW w:type="dxa" w:w="226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GTA 泰国</w:t>
            </w:r>
          </w:p>
        </w:tc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&lt; 10min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&gt; 30min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显示“GTA 快照”</w:t>
            </w:r>
          </w:p>
        </w:tc>
      </w:tr>
      <w:tr>
        <w:trPr>
          <w:cantSplit/>
          <w:keepNext/>
        </w:trPr>
        <w:tc>
          <w:tcPr>
            <w:tcW w:type="dxa" w:w="226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Dealer 报价</w:t>
            </w:r>
          </w:p>
        </w:tc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&lt; 24h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&gt; 48h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标记过期，不参与排名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历史日线</w:t>
            </w:r>
          </w:p>
        </w:tc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每日 1 次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缺 2 天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使用缓存，标注</w:t>
            </w:r>
          </w:p>
        </w:tc>
      </w:tr>
    </w:tbl>
    <w:p>
      <w:pPr>
        <w:spacing w:after="20"/>
      </w:pP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异常跳变：5 分钟内 &gt; 8% 的价格变动需要二次源确认，否则只记录不对外。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跨源偏差：spot 与 GTA 折算价偏差 &gt; 3% 时，前端显示“数据分歧”，不选一个假装正确。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缺失值：不允许用 0 或上一日价格静默填充；必须标记 stale 与 source。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6.7  </w:t>
      </w:r>
      <w:r>
        <w:rPr>
          <w:rFonts w:ascii="微软雅黑" w:hAnsi="微软雅黑" w:eastAsia="微软雅黑"/>
          <w:b/>
          <w:color w:val="1B1D18"/>
          <w:sz w:val="24"/>
        </w:rPr>
        <w:t>缓存、分区与保留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6-4 · 缓存与保留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381"/>
        <w:gridCol w:w="1474"/>
        <w:gridCol w:w="2494"/>
      </w:tblGrid>
      <w:tr>
        <w:trPr>
          <w:cantSplit/>
          <w:tblHeader/>
          <w:keepNext/>
        </w:trPr>
        <w:tc>
          <w:tcPr>
            <w:tcW w:type="dxa" w:w="2835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对象</w:t>
            </w:r>
          </w:p>
        </w:tc>
        <w:tc>
          <w:tcPr>
            <w:tcW w:type="dxa" w:w="2381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策略</w:t>
            </w:r>
          </w:p>
        </w:tc>
        <w:tc>
          <w:tcPr>
            <w:tcW w:type="dxa" w:w="147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TTL</w:t>
            </w:r>
          </w:p>
        </w:tc>
        <w:tc>
          <w:tcPr>
            <w:tcW w:type="dxa" w:w="249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说明</w:t>
            </w:r>
          </w:p>
        </w:tc>
      </w:tr>
      <w:tr>
        <w:trPr>
          <w:cantSplit/>
          <w:keepNext/>
        </w:trPr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market:latest:{market}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Redis string</w:t>
            </w:r>
          </w:p>
        </w:tc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60s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最新快照 JSON</w:t>
            </w:r>
          </w:p>
        </w:tc>
      </w:tr>
      <w:tr>
        <w:trPr>
          <w:cantSplit/>
          <w:keepNext/>
        </w:trPr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fx:latest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Redis hash</w:t>
            </w:r>
          </w:p>
        </w:tc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1h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币种表</w:t>
            </w:r>
          </w:p>
        </w:tc>
      </w:tr>
      <w:tr>
        <w:trPr>
          <w:cantSplit/>
          <w:keepNext/>
        </w:trPr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quote:{id}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Redis string</w:t>
            </w:r>
          </w:p>
        </w:tc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5min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报价详情</w:t>
            </w:r>
          </w:p>
        </w:tc>
      </w:tr>
      <w:tr>
        <w:trPr>
          <w:cantSplit/>
          <w:keepNext/>
        </w:trPr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rate:{ip}:{route}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Redis counter</w:t>
            </w:r>
          </w:p>
        </w:tc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60s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限流</w:t>
            </w:r>
          </w:p>
        </w:tc>
      </w:tr>
      <w:tr>
        <w:trPr>
          <w:cantSplit/>
          <w:keepNext/>
        </w:trPr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price_snapshots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按月分区</w:t>
            </w:r>
          </w:p>
        </w:tc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24 个月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归档到 R2</w:t>
            </w:r>
          </w:p>
        </w:tc>
      </w:tr>
      <w:tr>
        <w:trPr>
          <w:cantSplit/>
          <w:keepNext/>
        </w:trPr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audit_logs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按季度分区</w:t>
            </w:r>
          </w:p>
        </w:tc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7 年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合规/审计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receipts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R2 生命周期</w:t>
            </w:r>
          </w:p>
        </w:tc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7 年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用户可删除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411"/>
            <w:shd w:fill="F3EBD8"/>
            <w:tcBorders>
              <w:top w:val="single" w:sz="6" w:space="0" w:color="D9C48F"/>
              <w:left w:val="single" w:sz="6" w:space="0" w:color="D9C48F"/>
              <w:bottom w:val="single" w:sz="6" w:space="0" w:color="D9C48F"/>
              <w:right w:val="single" w:sz="6" w:space="0" w:color="D9C48F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B8892E"/>
                <w:sz w:val="15"/>
              </w:rPr>
              <w:t>数据原则</w:t>
            </w:r>
          </w:p>
          <w:p>
            <w:pPr>
              <w:spacing w:after="0" w:line="336" w:lineRule="auto"/>
            </w:pPr>
            <w:r>
              <w:rPr>
                <w:rFonts w:ascii="微软雅黑" w:hAnsi="微软雅黑" w:eastAsia="微软雅黑"/>
                <w:color w:val="1B1D18"/>
                <w:sz w:val="19"/>
              </w:rPr>
              <w:t>宁可显示“快照/延迟/分歧”，也不要显示一个看起来精确、实际错误的数字。黄金是钱，信任只有一次。</w:t>
            </w:r>
          </w:p>
        </w:tc>
      </w:tr>
    </w:tbl>
    <w:p>
      <w:pPr>
        <w:spacing w:after="20"/>
      </w:pPr>
    </w:p>
    <w:p>
      <w:pPr>
        <w:keepNext/>
        <w:spacing w:before="360" w:after="20"/>
      </w:pPr>
      <w:r>
        <w:rPr>
          <w:rFonts w:ascii="Georgia" w:hAnsi="Georgia" w:eastAsia="Georgia"/>
          <w:b/>
          <w:color w:val="B8892E"/>
          <w:sz w:val="19"/>
        </w:rPr>
        <w:t>07</w:t>
      </w:r>
    </w:p>
    <w:p>
      <w:pPr>
        <w:keepNext/>
        <w:spacing w:before="0" w:after="40"/>
      </w:pPr>
      <w:r>
        <w:rPr>
          <w:rFonts w:ascii="宋体" w:hAnsi="宋体" w:eastAsia="宋体"/>
          <w:b/>
          <w:color w:val="1B1D18"/>
          <w:sz w:val="46"/>
        </w:rPr>
        <w:t>领域核心</w:t>
      </w:r>
    </w:p>
    <w:p>
      <w:pPr>
        <w:keepNext/>
        <w:spacing w:after="200"/>
        <w:pBdr>
          <w:bottom w:val="single" w:sz="6" w:space="8" w:color="B8892E"/>
        </w:pBdr>
      </w:pPr>
      <w:r>
        <w:rPr>
          <w:rFonts w:ascii="微软雅黑" w:hAnsi="微软雅黑" w:eastAsia="微软雅黑"/>
          <w:color w:val="6F7468"/>
          <w:sz w:val="19"/>
        </w:rPr>
        <w:t>把“算得对”从 UI 里拿出来，变成可测试的资产。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7.1  </w:t>
      </w:r>
      <w:r>
        <w:rPr>
          <w:rFonts w:ascii="微软雅黑" w:hAnsi="微软雅黑" w:eastAsia="微软雅黑"/>
          <w:b/>
          <w:color w:val="1B1D18"/>
          <w:sz w:val="24"/>
        </w:rPr>
        <w:t>@goldlens/core 的边界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411"/>
            <w:shd w:fill="F4F1E8"/>
            <w:tcBorders>
              <w:top w:val="single" w:sz="3" w:space="0" w:color="DED8C8"/>
              <w:left w:val="single" w:sz="3" w:space="0" w:color="DED8C8"/>
              <w:bottom w:val="single" w:sz="3" w:space="0" w:color="DED8C8"/>
              <w:right w:val="single" w:sz="3" w:space="0" w:color="DED8C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300" w:lineRule="auto"/>
            </w:pPr>
            <w:r>
              <w:rPr>
                <w:rFonts w:ascii="Consolas" w:hAnsi="Consolas" w:eastAsia="Consolas"/>
                <w:color w:val="1B1D18"/>
                <w:sz w:val="16"/>
              </w:rPr>
              <w:t>packages/core/</w:t>
              <w:br/>
              <w:t>├── units.ts          # g / baht / tola / oz 转换</w:t>
              <w:br/>
              <w:t>├── purity.ts         # 24K / 22K / 18K / 96.5%</w:t>
              <w:br/>
              <w:t>├── money.ts          # Decimal 运算、舍入、币种</w:t>
              <w:br/>
              <w:t>├── quote.ts          # 到手价、工费、税、回购、回本</w:t>
              <w:br/>
              <w:t>├── ranking.ts        # dealer quote 排名</w:t>
              <w:br/>
              <w:t>├── rules/</w:t>
              <w:br/>
              <w:t>│   ├── th.ts         # 泰国 96.5% / GTA</w:t>
              <w:br/>
              <w:t>│   ├── ae.ts         # 阿联酋 22K / VAT</w:t>
              <w:br/>
              <w:t>│   ├── in.ts         # 印度 22K / GST</w:t>
              <w:br/>
              <w:t>│   └── us.ts         # 美国 24K</w:t>
              <w:br/>
              <w:t>└── index.ts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7.2  </w:t>
      </w:r>
      <w:r>
        <w:rPr>
          <w:rFonts w:ascii="微软雅黑" w:hAnsi="微软雅黑" w:eastAsia="微软雅黑"/>
          <w:b/>
          <w:color w:val="1B1D18"/>
          <w:sz w:val="24"/>
        </w:rPr>
        <w:t>计算口径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411"/>
            <w:shd w:fill="F4F1E8"/>
            <w:tcBorders>
              <w:top w:val="single" w:sz="3" w:space="0" w:color="DED8C8"/>
              <w:left w:val="single" w:sz="3" w:space="0" w:color="DED8C8"/>
              <w:bottom w:val="single" w:sz="3" w:space="0" w:color="DED8C8"/>
              <w:right w:val="single" w:sz="3" w:space="0" w:color="DED8C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300" w:lineRule="auto"/>
            </w:pPr>
            <w:r>
              <w:rPr>
                <w:rFonts w:ascii="Consolas" w:hAnsi="Consolas" w:eastAsia="Consolas"/>
                <w:color w:val="1B1D18"/>
                <w:sz w:val="16"/>
              </w:rPr>
              <w:t>金料价值 = 金价(USD/oz) ÷ 31.1034768 × 汇率 × 克重 × 纯度</w:t>
              <w:br/>
              <w:t>到手价   = 金料价值 + 工费/溢价 + 税费</w:t>
              <w:br/>
              <w:t>即时回购 = 本地回购价 × 重量（或 金料价值 × (1 − 回购折价)）</w:t>
              <w:br/>
              <w:t>回本涨幅 = 到手价 ÷ 即时回购 − 1</w:t>
            </w:r>
          </w:p>
        </w:tc>
      </w:tr>
    </w:tbl>
    <w:p>
      <w:pPr>
        <w:spacing w:after="20"/>
      </w:pPr>
    </w:p>
    <w:p>
      <w:pPr>
        <w:spacing w:after="100" w:line="341" w:lineRule="auto"/>
      </w:pPr>
      <w:r>
        <w:rPr>
          <w:rFonts w:ascii="微软雅黑" w:hAnsi="微软雅黑" w:eastAsia="微软雅黑"/>
          <w:color w:val="1B1D18"/>
          <w:sz w:val="20"/>
        </w:rPr>
        <w:t>实现上使用 decimal.js（或 big.js），禁止 JavaScript float 直接做金额。所有中间结果保留 6 位小数，最终按币种最小单位舍入；舍入规则显式写在 rules 里，并在测试中锁定。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7.3  </w:t>
      </w:r>
      <w:r>
        <w:rPr>
          <w:rFonts w:ascii="微软雅黑" w:hAnsi="微软雅黑" w:eastAsia="微软雅黑"/>
          <w:b/>
          <w:color w:val="1B1D18"/>
          <w:sz w:val="24"/>
        </w:rPr>
        <w:t>市场规则配置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411"/>
            <w:shd w:fill="F4F1E8"/>
            <w:tcBorders>
              <w:top w:val="single" w:sz="3" w:space="0" w:color="DED8C8"/>
              <w:left w:val="single" w:sz="3" w:space="0" w:color="DED8C8"/>
              <w:bottom w:val="single" w:sz="3" w:space="0" w:color="DED8C8"/>
              <w:right w:val="single" w:sz="3" w:space="0" w:color="DED8C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300" w:lineRule="auto"/>
            </w:pPr>
            <w:r>
              <w:rPr>
                <w:rFonts w:ascii="Consolas" w:hAnsi="Consolas" w:eastAsia="Consolas"/>
                <w:color w:val="1B1D18"/>
                <w:sz w:val="16"/>
              </w:rPr>
              <w:t>{</w:t>
              <w:br/>
              <w:t xml:space="preserve">  "market": "TH",</w:t>
              <w:br/>
              <w:t xml:space="preserve">  "currency": "THB",</w:t>
              <w:br/>
              <w:t xml:space="preserve">  "purityDefault": 0.965,</w:t>
              <w:br/>
              <w:t xml:space="preserve">  "unitDefault": "baht",</w:t>
              <w:br/>
              <w:t xml:space="preserve">  "tax": { "type": "none", "bps": 0 },</w:t>
              <w:br/>
              <w:t xml:space="preserve">  "making": { "mode": "gta_implied", "defaultBps": 0 },</w:t>
              <w:br/>
              <w:t xml:space="preserve">  "buyback": { "mode": "gta_ornament", "spreadBps": 350 },</w:t>
              <w:br/>
              <w:t xml:space="preserve">  "fairness": { "lowBps": 200, "midBps": 500, "highBps": 1000 },</w:t>
              <w:br/>
              <w:t xml:space="preserve">  "disclaimerKey": "th.gold.reference"</w:t>
              <w:br/>
              <w:t>}</w:t>
            </w:r>
          </w:p>
        </w:tc>
      </w:tr>
    </w:tbl>
    <w:p>
      <w:pPr>
        <w:spacing w:after="20"/>
      </w:pPr>
    </w:p>
    <w:p>
      <w:pPr>
        <w:spacing w:after="100" w:line="341" w:lineRule="auto"/>
      </w:pPr>
      <w:r>
        <w:rPr>
          <w:rFonts w:ascii="微软雅黑" w:hAnsi="微软雅黑" w:eastAsia="微软雅黑"/>
          <w:color w:val="1B1D18"/>
          <w:sz w:val="20"/>
        </w:rPr>
        <w:t>规则是版本化的：rules/th@2026-10.json；每次修改都要有生效日期、变更原因、测试向量。计算结果里带 rule_version，便于审计与回放。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7.4  </w:t>
      </w:r>
      <w:r>
        <w:rPr>
          <w:rFonts w:ascii="微软雅黑" w:hAnsi="微软雅黑" w:eastAsia="微软雅黑"/>
          <w:b/>
          <w:color w:val="1B1D18"/>
          <w:sz w:val="24"/>
        </w:rPr>
        <w:t>测试向量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7-1 · 核心测试向量（2026-10-23 12:11 GTA）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742"/>
        <w:gridCol w:w="2268"/>
        <w:gridCol w:w="1474"/>
      </w:tblGrid>
      <w:tr>
        <w:trPr>
          <w:cantSplit/>
          <w:tblHeader/>
          <w:keepNext/>
        </w:trPr>
        <w:tc>
          <w:tcPr>
            <w:tcW w:type="dxa" w:w="1928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用例</w:t>
            </w:r>
          </w:p>
        </w:tc>
        <w:tc>
          <w:tcPr>
            <w:tcW w:type="dxa" w:w="3742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输入</w:t>
            </w:r>
          </w:p>
        </w:tc>
        <w:tc>
          <w:tcPr>
            <w:tcW w:type="dxa" w:w="2268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期望</w:t>
            </w:r>
          </w:p>
        </w:tc>
        <w:tc>
          <w:tcPr>
            <w:tcW w:type="dxa" w:w="147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说明</w:t>
            </w:r>
          </w:p>
        </w:tc>
      </w:tr>
      <w:tr>
        <w:trPr>
          <w:cantSplit/>
          <w:keepNext/>
        </w:trPr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泰国金饰</w:t>
            </w:r>
          </w:p>
        </w:tc>
        <w:tc>
          <w:tcPr>
            <w:tcW w:type="dxa" w:w="374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1 baht, 96.5%, GTA ornament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65,000 THB</w:t>
            </w:r>
          </w:p>
        </w:tc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到手价锚</w:t>
            </w:r>
          </w:p>
        </w:tc>
      </w:tr>
      <w:tr>
        <w:trPr>
          <w:cantSplit/>
          <w:keepNext/>
        </w:trPr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泰国回购</w:t>
            </w:r>
          </w:p>
        </w:tc>
        <w:tc>
          <w:tcPr>
            <w:tcW w:type="dxa" w:w="374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1 baht, 96.5%, GTA buy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62,716.92 THB</w:t>
            </w:r>
          </w:p>
        </w:tc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回购价</w:t>
            </w:r>
          </w:p>
        </w:tc>
      </w:tr>
      <w:tr>
        <w:trPr>
          <w:cantSplit/>
          <w:keepNext/>
        </w:trPr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泰国隐形成本</w:t>
            </w:r>
          </w:p>
        </w:tc>
        <w:tc>
          <w:tcPr>
            <w:tcW w:type="dxa" w:w="374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标价 − 回购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2,283.08 THB / 3.5%</w:t>
            </w:r>
          </w:p>
        </w:tc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一买一卖</w:t>
            </w:r>
          </w:p>
        </w:tc>
      </w:tr>
      <w:tr>
        <w:trPr>
          <w:cantSplit/>
          <w:keepNext/>
        </w:trPr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泰国回本</w:t>
            </w:r>
          </w:p>
        </w:tc>
        <w:tc>
          <w:tcPr>
            <w:tcW w:type="dxa" w:w="374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65,000 / 62,716.92 − 1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3.64%</w:t>
            </w:r>
          </w:p>
        </w:tc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金价需上涨</w:t>
            </w:r>
          </w:p>
        </w:tc>
      </w:tr>
      <w:tr>
        <w:trPr>
          <w:cantSplit/>
          <w:keepNext/>
        </w:trPr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阿联酋</w:t>
            </w:r>
          </w:p>
        </w:tc>
        <w:tc>
          <w:tcPr>
            <w:tcW w:type="dxa" w:w="374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1g, 22K, AED, making 12%, VAT 5%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≈ AED 512</w:t>
            </w:r>
          </w:p>
        </w:tc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估算</w:t>
            </w:r>
          </w:p>
        </w:tc>
      </w:tr>
      <w:tr>
        <w:trPr>
          <w:cantSplit/>
          <w:keepNext/>
        </w:trPr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印度</w:t>
            </w:r>
          </w:p>
        </w:tc>
        <w:tc>
          <w:tcPr>
            <w:tcW w:type="dxa" w:w="374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10g, 24K, INR, making 12%, GST 3%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≈ ₹141,523</w:t>
            </w:r>
          </w:p>
        </w:tc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估算</w:t>
            </w:r>
          </w:p>
        </w:tc>
      </w:tr>
      <w:tr>
        <w:trPr>
          <w:cantSplit/>
          <w:keepNext/>
        </w:trPr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单位</w:t>
            </w:r>
          </w:p>
        </w:tc>
        <w:tc>
          <w:tcPr>
            <w:tcW w:type="dxa" w:w="374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1 baht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15.244 g</w:t>
            </w:r>
          </w:p>
        </w:tc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规范转换</w:t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单位</w:t>
            </w:r>
          </w:p>
        </w:tc>
        <w:tc>
          <w:tcPr>
            <w:tcW w:type="dxa" w:w="374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1 tola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11.6638125 g</w:t>
            </w:r>
          </w:p>
        </w:tc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规范转换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7.5  </w:t>
      </w:r>
      <w:r>
        <w:rPr>
          <w:rFonts w:ascii="微软雅黑" w:hAnsi="微软雅黑" w:eastAsia="微软雅黑"/>
          <w:b/>
          <w:color w:val="1B1D18"/>
          <w:sz w:val="24"/>
        </w:rPr>
        <w:t>边界情况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重量为 0 / 负数 / 超过 1000g：拒绝，返回 VALIDATION_ERROR。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纯度不在支持列表：拒绝；不要“四舍五入到 22K”。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报价过期：不参与排名，前端标“已过期”。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回购价为 0：显示“暂无回购价”，不回退到金料价。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汇率缺失：整笔计算不可用，显示“汇率暂不可用”，不猜。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舍入：先按最小单位四舍五入，再展示；避免 0.01 的累计误差。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7.6  </w:t>
      </w:r>
      <w:r>
        <w:rPr>
          <w:rFonts w:ascii="微软雅黑" w:hAnsi="微软雅黑" w:eastAsia="微软雅黑"/>
          <w:b/>
          <w:color w:val="1B1D18"/>
          <w:sz w:val="24"/>
        </w:rPr>
        <w:t>排名算法（可解释）</w:t>
      </w:r>
    </w:p>
    <w:p>
      <w:pPr>
        <w:spacing w:after="100" w:line="341" w:lineRule="auto"/>
      </w:pPr>
      <w:r>
        <w:rPr>
          <w:rFonts w:ascii="微软雅黑" w:hAnsi="微软雅黑" w:eastAsia="微软雅黑"/>
          <w:color w:val="1B1D18"/>
          <w:sz w:val="20"/>
        </w:rPr>
        <w:t>Dealer 报价排名不按佣金。V1 使用五项加权：到手价 40%、回购价 25%、距离/便利 15%、验证等级 10%、新鲜度 10%。每项归一化到 0–100，输出 score 与 reasons，前端展示“为什么排第一”。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411"/>
            <w:shd w:fill="F4F1E8"/>
            <w:tcBorders>
              <w:top w:val="single" w:sz="3" w:space="0" w:color="DED8C8"/>
              <w:left w:val="single" w:sz="3" w:space="0" w:color="DED8C8"/>
              <w:bottom w:val="single" w:sz="3" w:space="0" w:color="DED8C8"/>
              <w:right w:val="single" w:sz="3" w:space="0" w:color="DED8C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300" w:lineRule="auto"/>
            </w:pPr>
            <w:r>
              <w:rPr>
                <w:rFonts w:ascii="Consolas" w:hAnsi="Consolas" w:eastAsia="Consolas"/>
                <w:color w:val="1B1D18"/>
                <w:sz w:val="16"/>
              </w:rPr>
              <w:t>score = 0.40 * priceScore</w:t>
              <w:br/>
              <w:t xml:space="preserve">      + 0.25 * buybackScore</w:t>
              <w:br/>
              <w:t xml:space="preserve">      + 0.15 * proximityScore</w:t>
              <w:br/>
              <w:t xml:space="preserve">      + 0.10 * verificationScore</w:t>
              <w:br/>
              <w:t xml:space="preserve">      + 0.10 * freshnessScore</w:t>
              <w:br/>
              <w:t>// priceScore = 100 * (maxAllIn - quoteAllIn) / (maxAllIn - minAllIn)</w:t>
            </w:r>
          </w:p>
        </w:tc>
      </w:tr>
    </w:tbl>
    <w:p>
      <w:pPr>
        <w:spacing w:after="20"/>
      </w:pPr>
    </w:p>
    <w:p>
      <w:pPr>
        <w:spacing w:after="100" w:line="341" w:lineRule="auto"/>
      </w:pPr>
      <w:r>
        <w:rPr>
          <w:rFonts w:ascii="微软雅黑" w:hAnsi="微软雅黑" w:eastAsia="微软雅黑"/>
          <w:color w:val="1B1D18"/>
          <w:sz w:val="20"/>
        </w:rPr>
        <w:t>付费推广只能出现在明确标注的“赞助”位，不改变自然排名。这条规则写进 Dealer 合同与 Admin 审计。</w:t>
      </w:r>
    </w:p>
    <w:p>
      <w:pPr>
        <w:keepNext/>
        <w:spacing w:before="360" w:after="20"/>
      </w:pPr>
      <w:r>
        <w:rPr>
          <w:rFonts w:ascii="Georgia" w:hAnsi="Georgia" w:eastAsia="Georgia"/>
          <w:b/>
          <w:color w:val="B8892E"/>
          <w:sz w:val="19"/>
        </w:rPr>
        <w:t>08</w:t>
      </w:r>
    </w:p>
    <w:p>
      <w:pPr>
        <w:keepNext/>
        <w:spacing w:before="0" w:after="40"/>
      </w:pPr>
      <w:r>
        <w:rPr>
          <w:rFonts w:ascii="宋体" w:hAnsi="宋体" w:eastAsia="宋体"/>
          <w:b/>
          <w:color w:val="1B1D18"/>
          <w:sz w:val="46"/>
        </w:rPr>
        <w:t>API 与集成</w:t>
      </w:r>
    </w:p>
    <w:p>
      <w:pPr>
        <w:keepNext/>
        <w:spacing w:after="200"/>
        <w:pBdr>
          <w:bottom w:val="single" w:sz="6" w:space="8" w:color="B8892E"/>
        </w:pBdr>
      </w:pPr>
      <w:r>
        <w:rPr>
          <w:rFonts w:ascii="微软雅黑" w:hAnsi="微软雅黑" w:eastAsia="微软雅黑"/>
          <w:color w:val="6F7468"/>
          <w:sz w:val="19"/>
        </w:rPr>
        <w:t>前后端共用一份契约，第三方永远隔在 adapter 后面。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8.1  </w:t>
      </w:r>
      <w:r>
        <w:rPr>
          <w:rFonts w:ascii="微软雅黑" w:hAnsi="微软雅黑" w:eastAsia="微软雅黑"/>
          <w:b/>
          <w:color w:val="1B1D18"/>
          <w:sz w:val="24"/>
        </w:rPr>
        <w:t>API 原则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REST/JSON，版本前缀 /api/v1；破坏性变更升 v2，不静默改字段。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Zod 定义请求/响应，生成 OpenAPI 与 TypeScript SDK。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统一错误 envelope：{ error: { code, message, requestId, details } }。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所有写操作支持 Idempotency-Key；报价/提醒/支付 webhook 必须幂等。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读接口用 ETag + Cache-Control；价格读走 SSE，不轮询。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服务端永远重新计算价格/权限，不信任前端传来的金额。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8.2  </w:t>
      </w:r>
      <w:r>
        <w:rPr>
          <w:rFonts w:ascii="微软雅黑" w:hAnsi="微软雅黑" w:eastAsia="微软雅黑"/>
          <w:b/>
          <w:color w:val="1B1D18"/>
          <w:sz w:val="24"/>
        </w:rPr>
        <w:t>核心端点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8-1 · API v1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3628"/>
        <w:gridCol w:w="1361"/>
        <w:gridCol w:w="3628"/>
      </w:tblGrid>
      <w:tr>
        <w:trPr>
          <w:cantSplit/>
          <w:tblHeader/>
        </w:trPr>
        <w:tc>
          <w:tcPr>
            <w:tcW w:type="dxa" w:w="79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方法</w:t>
            </w:r>
          </w:p>
        </w:tc>
        <w:tc>
          <w:tcPr>
            <w:tcW w:type="dxa" w:w="3628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路径</w:t>
            </w:r>
          </w:p>
        </w:tc>
        <w:tc>
          <w:tcPr>
            <w:tcW w:type="dxa" w:w="1361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鉴权</w:t>
            </w:r>
          </w:p>
        </w:tc>
        <w:tc>
          <w:tcPr>
            <w:tcW w:type="dxa" w:w="3628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用途</w:t>
            </w:r>
          </w:p>
        </w:tc>
      </w:tr>
      <w:tr>
        <w:trPr>
          <w:cantSplit/>
        </w:trPr>
        <w:tc>
          <w:tcPr>
            <w:tcW w:type="dxa" w:w="7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GET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/api/v1/market/overview</w:t>
            </w:r>
          </w:p>
        </w:tc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public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市场、spot、FX、GTA、更新时间</w:t>
            </w:r>
          </w:p>
        </w:tc>
      </w:tr>
      <w:tr>
        <w:trPr>
          <w:cantSplit/>
        </w:trPr>
        <w:tc>
          <w:tcPr>
            <w:tcW w:type="dxa" w:w="7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GET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/api/v1/market/history</w:t>
            </w:r>
          </w:p>
        </w:tc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public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30D/90D/1Y 日线</w:t>
            </w:r>
          </w:p>
        </w:tc>
      </w:tr>
      <w:tr>
        <w:trPr>
          <w:cantSplit/>
        </w:trPr>
        <w:tc>
          <w:tcPr>
            <w:tcW w:type="dxa" w:w="7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POST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/api/v1/quote/calculate</w:t>
            </w:r>
          </w:p>
        </w:tc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public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纯计算，不落库</w:t>
            </w:r>
          </w:p>
        </w:tc>
      </w:tr>
      <w:tr>
        <w:trPr>
          <w:cantSplit/>
        </w:trPr>
        <w:tc>
          <w:tcPr>
            <w:tcW w:type="dxa" w:w="7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GET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/api/v1/dealers</w:t>
            </w:r>
          </w:p>
        </w:tc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public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按城市/纯度/重量筛选</w:t>
            </w:r>
          </w:p>
        </w:tc>
      </w:tr>
      <w:tr>
        <w:trPr>
          <w:cantSplit/>
        </w:trPr>
        <w:tc>
          <w:tcPr>
            <w:tcW w:type="dxa" w:w="7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POST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/api/v1/quote-requests</w:t>
            </w:r>
          </w:p>
        </w:tc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user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提交询价</w:t>
            </w:r>
          </w:p>
        </w:tc>
      </w:tr>
      <w:tr>
        <w:trPr>
          <w:cantSplit/>
        </w:trPr>
        <w:tc>
          <w:tcPr>
            <w:tcW w:type="dxa" w:w="7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GET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/api/v1/quote-requests/:id</w:t>
            </w:r>
          </w:p>
        </w:tc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user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查看报价与排名</w:t>
            </w:r>
          </w:p>
        </w:tc>
      </w:tr>
      <w:tr>
        <w:trPr>
          <w:cantSplit/>
        </w:trPr>
        <w:tc>
          <w:tcPr>
            <w:tcW w:type="dxa" w:w="7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POST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/api/v1/dealer/quotes</w:t>
            </w:r>
          </w:p>
        </w:tc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dealer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Dealer 提交报价</w:t>
            </w:r>
          </w:p>
        </w:tc>
      </w:tr>
      <w:tr>
        <w:trPr>
          <w:cantSplit/>
        </w:trPr>
        <w:tc>
          <w:tcPr>
            <w:tcW w:type="dxa" w:w="7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GET/POST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/api/v1/holdings</w:t>
            </w:r>
          </w:p>
        </w:tc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user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持仓 CRUD</w:t>
            </w:r>
          </w:p>
        </w:tc>
      </w:tr>
      <w:tr>
        <w:trPr>
          <w:cantSplit/>
        </w:trPr>
        <w:tc>
          <w:tcPr>
            <w:tcW w:type="dxa" w:w="7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GET/POST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/api/v1/alerts</w:t>
            </w:r>
          </w:p>
        </w:tc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user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提醒 CRUD</w:t>
            </w:r>
          </w:p>
        </w:tc>
      </w:tr>
      <w:tr>
        <w:trPr>
          <w:cantSplit/>
        </w:trPr>
        <w:tc>
          <w:tcPr>
            <w:tcW w:type="dxa" w:w="7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POST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/api/v1/billing/checkout</w:t>
            </w:r>
          </w:p>
        </w:tc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user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Stripe Checkout</w:t>
            </w:r>
          </w:p>
        </w:tc>
      </w:tr>
      <w:tr>
        <w:trPr>
          <w:cantSplit/>
        </w:trPr>
        <w:tc>
          <w:tcPr>
            <w:tcW w:type="dxa" w:w="7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POST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/api/v1/webhooks/stripe</w:t>
            </w:r>
          </w:p>
        </w:tc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signature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订阅事件</w:t>
            </w:r>
          </w:p>
        </w:tc>
      </w:tr>
      <w:tr>
        <w:trPr>
          <w:cantSplit/>
        </w:trPr>
        <w:tc>
          <w:tcPr>
            <w:tcW w:type="dxa" w:w="7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GET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/api/v1/events/prices</w:t>
            </w:r>
          </w:p>
        </w:tc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public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SSE 价格流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8.3  </w:t>
      </w:r>
      <w:r>
        <w:rPr>
          <w:rFonts w:ascii="微软雅黑" w:hAnsi="微软雅黑" w:eastAsia="微软雅黑"/>
          <w:b/>
          <w:color w:val="1B1D18"/>
          <w:sz w:val="24"/>
        </w:rPr>
        <w:t>计算请求示例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411"/>
            <w:shd w:fill="F4F1E8"/>
            <w:tcBorders>
              <w:top w:val="single" w:sz="3" w:space="0" w:color="DED8C8"/>
              <w:left w:val="single" w:sz="3" w:space="0" w:color="DED8C8"/>
              <w:bottom w:val="single" w:sz="3" w:space="0" w:color="DED8C8"/>
              <w:right w:val="single" w:sz="3" w:space="0" w:color="DED8C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300" w:lineRule="auto"/>
            </w:pPr>
            <w:r>
              <w:rPr>
                <w:rFonts w:ascii="Consolas" w:hAnsi="Consolas" w:eastAsia="Consolas"/>
                <w:color w:val="1B1D18"/>
                <w:sz w:val="16"/>
              </w:rPr>
              <w:t>POST /api/v1/quote/calculate</w:t>
              <w:br/>
              <w:t>{</w:t>
              <w:br/>
              <w:t xml:space="preserve">  "market": "TH",</w:t>
              <w:br/>
              <w:t xml:space="preserve">  "purity": 0.965,</w:t>
              <w:br/>
              <w:t xml:space="preserve">  "weight": 1,</w:t>
              <w:br/>
              <w:t xml:space="preserve">  "unit": "baht",</w:t>
              <w:br/>
              <w:t xml:space="preserve">  "makingBps": 0,</w:t>
              <w:br/>
              <w:t xml:space="preserve">  "taxBps": 0</w:t>
              <w:br/>
              <w:t>}</w:t>
              <w:br/>
              <w:br/>
              <w:t>200 OK</w:t>
              <w:br/>
              <w:t>{</w:t>
              <w:br/>
              <w:t xml:space="preserve">  "input": { "...": "..." },</w:t>
              <w:br/>
              <w:t xml:space="preserve">  "money": {</w:t>
              <w:br/>
              <w:t xml:space="preserve">    "currency": "THB",</w:t>
              <w:br/>
              <w:t xml:space="preserve">    "metalMinor": 6420000,</w:t>
              <w:br/>
              <w:t xml:space="preserve">    "makingMinor": 80000,</w:t>
              <w:br/>
              <w:t xml:space="preserve">    "taxMinor": 0,</w:t>
              <w:br/>
              <w:t xml:space="preserve">    "totalMinor": 6500000,</w:t>
              <w:br/>
              <w:t xml:space="preserve">    "buybackMinor": 6271692</w:t>
              <w:br/>
              <w:t xml:space="preserve">  },</w:t>
              <w:br/>
              <w:t xml:space="preserve">  "percent": {</w:t>
              <w:br/>
              <w:t xml:space="preserve">    "premiumBps": 135,</w:t>
              <w:br/>
              <w:t xml:space="preserve">    "instantLossBps": 351,</w:t>
              <w:br/>
              <w:t xml:space="preserve">    "breakEvenBps": 364</w:t>
              <w:br/>
              <w:t xml:space="preserve">  },</w:t>
              <w:br/>
              <w:t xml:space="preserve">  "provenance": {</w:t>
              <w:br/>
              <w:t xml:space="preserve">    "spotSource": "gold-api.com",</w:t>
              <w:br/>
              <w:t xml:space="preserve">    "localSource": "GTA",</w:t>
              <w:br/>
              <w:t xml:space="preserve">    "observedAt": "2026-10-23T05:11:00Z",</w:t>
              <w:br/>
              <w:t xml:space="preserve">    "ruleVersion": "th@2026-10"</w:t>
              <w:br/>
              <w:t xml:space="preserve">  }</w:t>
              <w:br/>
              <w:t>}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8.4  </w:t>
      </w:r>
      <w:r>
        <w:rPr>
          <w:rFonts w:ascii="微软雅黑" w:hAnsi="微软雅黑" w:eastAsia="微软雅黑"/>
          <w:b/>
          <w:color w:val="1B1D18"/>
          <w:sz w:val="24"/>
        </w:rPr>
        <w:t>实时价格：SSE 而不是轮询</w:t>
      </w:r>
    </w:p>
    <w:p>
      <w:pPr>
        <w:spacing w:after="100" w:line="341" w:lineRule="auto"/>
      </w:pPr>
      <w:r>
        <w:rPr>
          <w:rFonts w:ascii="微软雅黑" w:hAnsi="微软雅黑" w:eastAsia="微软雅黑"/>
          <w:color w:val="1B1D18"/>
          <w:sz w:val="20"/>
        </w:rPr>
        <w:t>GET /api/v1/events/prices?market=TH 返回 text/event-stream，每 30 秒或价格变化时推送 market.tick。BFF 从 Redis 读最新快照；连接断开自动重连；页面隐藏时降频。SSE 比 WebSocket 简单，足够覆盖价格看板。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8.5  </w:t>
      </w:r>
      <w:r>
        <w:rPr>
          <w:rFonts w:ascii="微软雅黑" w:hAnsi="微软雅黑" w:eastAsia="微软雅黑"/>
          <w:b/>
          <w:color w:val="1B1D18"/>
          <w:sz w:val="24"/>
        </w:rPr>
        <w:t>Webhook 与外部集成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8-2 · 集成边界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247"/>
        <w:gridCol w:w="3175"/>
        <w:gridCol w:w="3288"/>
      </w:tblGrid>
      <w:tr>
        <w:trPr>
          <w:cantSplit/>
          <w:tblHeader/>
          <w:keepNext/>
        </w:trPr>
        <w:tc>
          <w:tcPr>
            <w:tcW w:type="dxa" w:w="1701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集成</w:t>
            </w:r>
          </w:p>
        </w:tc>
        <w:tc>
          <w:tcPr>
            <w:tcW w:type="dxa" w:w="1247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方向</w:t>
            </w:r>
          </w:p>
        </w:tc>
        <w:tc>
          <w:tcPr>
            <w:tcW w:type="dxa" w:w="3175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安全</w:t>
            </w:r>
          </w:p>
        </w:tc>
        <w:tc>
          <w:tcPr>
            <w:tcW w:type="dxa" w:w="3288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失败处理</w:t>
            </w:r>
          </w:p>
        </w:tc>
      </w:tr>
      <w:tr>
        <w:trPr>
          <w:cantSplit/>
          <w:keepNext/>
        </w:trPr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Stripe</w:t>
            </w:r>
          </w:p>
        </w:tc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入站 webhook</w:t>
            </w:r>
          </w:p>
        </w:tc>
        <w:tc>
          <w:tcPr>
            <w:tcW w:type="dxa" w:w="317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签名校验 + 重放保护</w:t>
            </w:r>
          </w:p>
        </w:tc>
        <w:tc>
          <w:tcPr>
            <w:tcW w:type="dxa" w:w="328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幂等 + 重试</w:t>
            </w:r>
          </w:p>
        </w:tc>
      </w:tr>
      <w:tr>
        <w:trPr>
          <w:cantSplit/>
          <w:keepNext/>
        </w:trPr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LINE / WhatsApp</w:t>
            </w:r>
          </w:p>
        </w:tc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出站</w:t>
            </w:r>
          </w:p>
        </w:tc>
        <w:tc>
          <w:tcPr>
            <w:tcW w:type="dxa" w:w="317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token 轮换</w:t>
            </w:r>
          </w:p>
        </w:tc>
        <w:tc>
          <w:tcPr>
            <w:tcW w:type="dxa" w:w="328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队列重试 + 降级邮件</w:t>
            </w:r>
          </w:p>
        </w:tc>
      </w:tr>
      <w:tr>
        <w:trPr>
          <w:cantSplit/>
          <w:keepNext/>
        </w:trPr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Dealer CSV/API</w:t>
            </w:r>
          </w:p>
        </w:tc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入站</w:t>
            </w:r>
          </w:p>
        </w:tc>
        <w:tc>
          <w:tcPr>
            <w:tcW w:type="dxa" w:w="317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签名/白名单 + 字段校验</w:t>
            </w:r>
          </w:p>
        </w:tc>
        <w:tc>
          <w:tcPr>
            <w:tcW w:type="dxa" w:w="328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隔离 + 人工审核</w:t>
            </w:r>
          </w:p>
        </w:tc>
      </w:tr>
      <w:tr>
        <w:trPr>
          <w:cantSplit/>
          <w:keepNext/>
        </w:trPr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GTA</w:t>
            </w:r>
          </w:p>
        </w:tc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入站抓取</w:t>
            </w:r>
          </w:p>
        </w:tc>
        <w:tc>
          <w:tcPr>
            <w:tcW w:type="dxa" w:w="317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限频 + UA + 缓存</w:t>
            </w:r>
          </w:p>
        </w:tc>
        <w:tc>
          <w:tcPr>
            <w:tcW w:type="dxa" w:w="328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快照 + 告警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Gold/FX</w:t>
            </w:r>
          </w:p>
        </w:tc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入站 API</w:t>
            </w:r>
          </w:p>
        </w:tc>
        <w:tc>
          <w:tcPr>
            <w:tcW w:type="dxa" w:w="317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key + timeout</w:t>
            </w:r>
          </w:p>
        </w:tc>
        <w:tc>
          <w:tcPr>
            <w:tcW w:type="dxa" w:w="328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快照 + 降级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8.6  </w:t>
      </w:r>
      <w:r>
        <w:rPr>
          <w:rFonts w:ascii="微软雅黑" w:hAnsi="微软雅黑" w:eastAsia="微软雅黑"/>
          <w:b/>
          <w:color w:val="1B1D18"/>
          <w:sz w:val="24"/>
        </w:rPr>
        <w:t>限流、幂等与错误码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8-3 · 错误码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948"/>
        <w:gridCol w:w="3402"/>
        <w:gridCol w:w="2154"/>
      </w:tblGrid>
      <w:tr>
        <w:trPr>
          <w:cantSplit/>
          <w:tblHeader/>
          <w:keepNext/>
        </w:trPr>
        <w:tc>
          <w:tcPr>
            <w:tcW w:type="dxa" w:w="907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HTTP</w:t>
            </w:r>
          </w:p>
        </w:tc>
        <w:tc>
          <w:tcPr>
            <w:tcW w:type="dxa" w:w="2948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code</w:t>
            </w:r>
          </w:p>
        </w:tc>
        <w:tc>
          <w:tcPr>
            <w:tcW w:type="dxa" w:w="3402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场景</w:t>
            </w:r>
          </w:p>
        </w:tc>
        <w:tc>
          <w:tcPr>
            <w:tcW w:type="dxa" w:w="215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前端动作</w:t>
            </w:r>
          </w:p>
        </w:tc>
      </w:tr>
      <w:tr>
        <w:trPr>
          <w:cantSplit/>
          <w:keepNext/>
        </w:trPr>
        <w:tc>
          <w:tcPr>
            <w:tcW w:type="dxa" w:w="90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400</w:t>
            </w:r>
          </w:p>
        </w:tc>
        <w:tc>
          <w:tcPr>
            <w:tcW w:type="dxa" w:w="294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VALIDATION_ERROR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参数不合法</w:t>
            </w:r>
          </w:p>
        </w:tc>
        <w:tc>
          <w:tcPr>
            <w:tcW w:type="dxa" w:w="215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字段级提示</w:t>
            </w:r>
          </w:p>
        </w:tc>
      </w:tr>
      <w:tr>
        <w:trPr>
          <w:cantSplit/>
          <w:keepNext/>
        </w:trPr>
        <w:tc>
          <w:tcPr>
            <w:tcW w:type="dxa" w:w="90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401</w:t>
            </w:r>
          </w:p>
        </w:tc>
        <w:tc>
          <w:tcPr>
            <w:tcW w:type="dxa" w:w="294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AUTH_REQUIRED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未登录</w:t>
            </w:r>
          </w:p>
        </w:tc>
        <w:tc>
          <w:tcPr>
            <w:tcW w:type="dxa" w:w="215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打开登录</w:t>
            </w:r>
          </w:p>
        </w:tc>
      </w:tr>
      <w:tr>
        <w:trPr>
          <w:cantSplit/>
          <w:keepNext/>
        </w:trPr>
        <w:tc>
          <w:tcPr>
            <w:tcW w:type="dxa" w:w="90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402</w:t>
            </w:r>
          </w:p>
        </w:tc>
        <w:tc>
          <w:tcPr>
            <w:tcW w:type="dxa" w:w="294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ENTITLEMENT_REQUIRED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Pro 权益</w:t>
            </w:r>
          </w:p>
        </w:tc>
        <w:tc>
          <w:tcPr>
            <w:tcW w:type="dxa" w:w="215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展示升级</w:t>
            </w:r>
          </w:p>
        </w:tc>
      </w:tr>
      <w:tr>
        <w:trPr>
          <w:cantSplit/>
          <w:keepNext/>
        </w:trPr>
        <w:tc>
          <w:tcPr>
            <w:tcW w:type="dxa" w:w="90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404</w:t>
            </w:r>
          </w:p>
        </w:tc>
        <w:tc>
          <w:tcPr>
            <w:tcW w:type="dxa" w:w="294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MARKET_UNSUPPORTED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市场未开放</w:t>
            </w:r>
          </w:p>
        </w:tc>
        <w:tc>
          <w:tcPr>
            <w:tcW w:type="dxa" w:w="215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切换市场</w:t>
            </w:r>
          </w:p>
        </w:tc>
      </w:tr>
      <w:tr>
        <w:trPr>
          <w:cantSplit/>
          <w:keepNext/>
        </w:trPr>
        <w:tc>
          <w:tcPr>
            <w:tcW w:type="dxa" w:w="90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409</w:t>
            </w:r>
          </w:p>
        </w:tc>
        <w:tc>
          <w:tcPr>
            <w:tcW w:type="dxa" w:w="294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QUOTE_EXPIRED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报价过期</w:t>
            </w:r>
          </w:p>
        </w:tc>
        <w:tc>
          <w:tcPr>
            <w:tcW w:type="dxa" w:w="215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刷新报价</w:t>
            </w:r>
          </w:p>
        </w:tc>
      </w:tr>
      <w:tr>
        <w:trPr>
          <w:cantSplit/>
          <w:keepNext/>
        </w:trPr>
        <w:tc>
          <w:tcPr>
            <w:tcW w:type="dxa" w:w="90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429</w:t>
            </w:r>
          </w:p>
        </w:tc>
        <w:tc>
          <w:tcPr>
            <w:tcW w:type="dxa" w:w="294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RATE_LIMITED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限流</w:t>
            </w:r>
          </w:p>
        </w:tc>
        <w:tc>
          <w:tcPr>
            <w:tcW w:type="dxa" w:w="215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退避 + 提示</w:t>
            </w:r>
          </w:p>
        </w:tc>
      </w:tr>
      <w:tr>
        <w:trPr>
          <w:cantSplit/>
        </w:trPr>
        <w:tc>
          <w:tcPr>
            <w:tcW w:type="dxa" w:w="90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503</w:t>
            </w:r>
          </w:p>
        </w:tc>
        <w:tc>
          <w:tcPr>
            <w:tcW w:type="dxa" w:w="294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UPSTREAM_UNAVAILABLE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数据源/支付不可用</w:t>
            </w:r>
          </w:p>
        </w:tc>
        <w:tc>
          <w:tcPr>
            <w:tcW w:type="dxa" w:w="215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显示快照/重试</w:t>
            </w:r>
          </w:p>
        </w:tc>
      </w:tr>
    </w:tbl>
    <w:p>
      <w:pPr>
        <w:spacing w:after="20"/>
      </w:pPr>
    </w:p>
    <w:p>
      <w:pPr>
        <w:keepNext/>
        <w:spacing w:before="360" w:after="20"/>
      </w:pPr>
      <w:r>
        <w:rPr>
          <w:rFonts w:ascii="Georgia" w:hAnsi="Georgia" w:eastAsia="Georgia"/>
          <w:b/>
          <w:color w:val="B8892E"/>
          <w:sz w:val="19"/>
        </w:rPr>
        <w:t>09</w:t>
      </w:r>
    </w:p>
    <w:p>
      <w:pPr>
        <w:keepNext/>
        <w:spacing w:before="0" w:after="40"/>
      </w:pPr>
      <w:r>
        <w:rPr>
          <w:rFonts w:ascii="宋体" w:hAnsi="宋体" w:eastAsia="宋体"/>
          <w:b/>
          <w:color w:val="1B1D18"/>
          <w:sz w:val="46"/>
        </w:rPr>
        <w:t>前端与体验</w:t>
      </w:r>
    </w:p>
    <w:p>
      <w:pPr>
        <w:keepNext/>
        <w:spacing w:after="200"/>
        <w:pBdr>
          <w:bottom w:val="single" w:sz="6" w:space="8" w:color="B8892E"/>
        </w:pBdr>
      </w:pPr>
      <w:r>
        <w:rPr>
          <w:rFonts w:ascii="微软雅黑" w:hAnsi="微软雅黑" w:eastAsia="微软雅黑"/>
          <w:color w:val="6F7468"/>
          <w:sz w:val="19"/>
        </w:rPr>
        <w:t>把“贵金属”做成“安静的信任”，不是“金色的喧嚣”。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9.1  </w:t>
      </w:r>
      <w:r>
        <w:rPr>
          <w:rFonts w:ascii="微软雅黑" w:hAnsi="微软雅黑" w:eastAsia="微软雅黑"/>
          <w:b/>
          <w:color w:val="1B1D18"/>
          <w:sz w:val="24"/>
        </w:rPr>
        <w:t>设计方向</w:t>
      </w:r>
    </w:p>
    <w:p>
      <w:pPr>
        <w:spacing w:after="100" w:line="341" w:lineRule="auto"/>
      </w:pPr>
      <w:r>
        <w:rPr>
          <w:rFonts w:ascii="微软雅黑" w:hAnsi="微软雅黑" w:eastAsia="微软雅黑"/>
          <w:color w:val="1B1D18"/>
          <w:sz w:val="20"/>
        </w:rPr>
        <w:t>关键词：安静、克制、可读、有触感。80% 中性色（墨黑/米白/石灰），20% 金色只用于价格、关键动作和状态；数据用无衬线，叙事用衬线；动效只用于解释变化，不用于装饰。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视觉：深色为默认，提供浅色；金色是“证据”，不是背景。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排版：大数字用 tabular-nums；单位、币种、更新时间永远紧跟数字。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信息：先给结论，再给拆解；先给“到手价/回购价”，再给公式。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语气：不承诺、不恐吓、不喊单；用“参考/估算/以门店为准”。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9.2  </w:t>
      </w:r>
      <w:r>
        <w:rPr>
          <w:rFonts w:ascii="微软雅黑" w:hAnsi="微软雅黑" w:eastAsia="微软雅黑"/>
          <w:b/>
          <w:color w:val="1B1D18"/>
          <w:sz w:val="24"/>
        </w:rPr>
        <w:t>设计 token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9-1 · 设计 token（节选）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4082"/>
        <w:gridCol w:w="3402"/>
      </w:tblGrid>
      <w:tr>
        <w:trPr>
          <w:cantSplit/>
          <w:tblHeader/>
        </w:trPr>
        <w:tc>
          <w:tcPr>
            <w:tcW w:type="dxa" w:w="1928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Token</w:t>
            </w:r>
          </w:p>
        </w:tc>
        <w:tc>
          <w:tcPr>
            <w:tcW w:type="dxa" w:w="4082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值</w:t>
            </w:r>
          </w:p>
        </w:tc>
        <w:tc>
          <w:tcPr>
            <w:tcW w:type="dxa" w:w="3402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--bg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#0A0C0B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页面背景</w:t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--surface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#121512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卡片</w:t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--ink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#F4F0E6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主文字</w:t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--muted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#A9A99C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次文字</w:t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--gold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#E5C46B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价格/主 CTA</w:t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--positive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#8FBD9A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上涨/正向</w:t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--negative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#D98D7C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下跌/风险</w:t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--radius-lg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22px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卡片</w:t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--shadow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0 30px 80px rgba(0,0,0,.35)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浮层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9.3  </w:t>
      </w:r>
      <w:r>
        <w:rPr>
          <w:rFonts w:ascii="微软雅黑" w:hAnsi="微软雅黑" w:eastAsia="微软雅黑"/>
          <w:b/>
          <w:color w:val="1B1D18"/>
          <w:sz w:val="24"/>
        </w:rPr>
        <w:t>信息架构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411"/>
            <w:shd w:fill="F4F1E8"/>
            <w:tcBorders>
              <w:top w:val="single" w:sz="3" w:space="0" w:color="DED8C8"/>
              <w:left w:val="single" w:sz="3" w:space="0" w:color="DED8C8"/>
              <w:bottom w:val="single" w:sz="3" w:space="0" w:color="DED8C8"/>
              <w:right w:val="single" w:sz="3" w:space="0" w:color="DED8C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300" w:lineRule="auto"/>
            </w:pPr>
            <w:r>
              <w:rPr>
                <w:rFonts w:ascii="Consolas" w:hAnsi="Consolas" w:eastAsia="Consolas"/>
                <w:color w:val="1B1D18"/>
                <w:sz w:val="16"/>
              </w:rPr>
              <w:t>/                         今日金价 + 快速计算 + 市场脉搏</w:t>
              <w:br/>
              <w:t>/calculate                真实成本计算器</w:t>
              <w:br/>
              <w:t>/compare                  跨市场 / 跨纯度 / 跨门店</w:t>
              <w:br/>
              <w:t>/quotes                   询价与报价对比</w:t>
              <w:br/>
              <w:t>/dealers/[city]           门店目录与详情</w:t>
              <w:br/>
              <w:t>/portfolio                持仓与盈亏</w:t>
              <w:br/>
              <w:t>/alerts                   价格提醒</w:t>
              <w:br/>
              <w:t>/learn/[slug]             单位/纯度/税/回购/防坑</w:t>
              <w:br/>
              <w:t>/account                  偏好/订阅/数据权利</w:t>
              <w:br/>
              <w:t>/dealer/*                 Dealer Portal</w:t>
              <w:br/>
              <w:t>/admin/*                  Admin Console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9.4  </w:t>
      </w:r>
      <w:r>
        <w:rPr>
          <w:rFonts w:ascii="微软雅黑" w:hAnsi="微软雅黑" w:eastAsia="微软雅黑"/>
          <w:b/>
          <w:color w:val="1B1D18"/>
          <w:sz w:val="24"/>
        </w:rPr>
        <w:t>页面规格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9-2 · 关键页面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835"/>
        <w:gridCol w:w="3175"/>
        <w:gridCol w:w="2268"/>
      </w:tblGrid>
      <w:tr>
        <w:trPr>
          <w:cantSplit/>
          <w:tblHeader/>
          <w:keepNext/>
        </w:trPr>
        <w:tc>
          <w:tcPr>
            <w:tcW w:type="dxa" w:w="113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页面</w:t>
            </w:r>
          </w:p>
        </w:tc>
        <w:tc>
          <w:tcPr>
            <w:tcW w:type="dxa" w:w="2835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主任务</w:t>
            </w:r>
          </w:p>
        </w:tc>
        <w:tc>
          <w:tcPr>
            <w:tcW w:type="dxa" w:w="3175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核心组件</w:t>
            </w:r>
          </w:p>
        </w:tc>
        <w:tc>
          <w:tcPr>
            <w:tcW w:type="dxa" w:w="2268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成功事件</w:t>
            </w:r>
          </w:p>
        </w:tc>
      </w:tr>
      <w:tr>
        <w:trPr>
          <w:cantSplit/>
          <w:keepNex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Home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30 秒内理解“今天买金贵不贵”</w:t>
            </w:r>
          </w:p>
        </w:tc>
        <w:tc>
          <w:tcPr>
            <w:tcW w:type="dxa" w:w="317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价格头图、市场切换、迷你计算器、趋势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start_calc</w:t>
            </w:r>
          </w:p>
        </w:tc>
      </w:tr>
      <w:tr>
        <w:trPr>
          <w:cantSplit/>
          <w:keepNex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Calculate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算出到手价/回购/回本</w:t>
            </w:r>
          </w:p>
        </w:tc>
        <w:tc>
          <w:tcPr>
            <w:tcW w:type="dxa" w:w="317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市场/纯度/重量、成本瀑布、结果卡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calc_complete</w:t>
            </w:r>
          </w:p>
        </w:tc>
      </w:tr>
      <w:tr>
        <w:trPr>
          <w:cantSplit/>
          <w:keepNex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Compare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同口径比较</w:t>
            </w:r>
          </w:p>
        </w:tc>
        <w:tc>
          <w:tcPr>
            <w:tcW w:type="dxa" w:w="317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对比表、价差、到店 CTA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compare_view</w:t>
            </w:r>
          </w:p>
        </w:tc>
      </w:tr>
      <w:tr>
        <w:trPr>
          <w:cantSplit/>
          <w:keepNex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Quotes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拿到可比较报价</w:t>
            </w:r>
          </w:p>
        </w:tc>
        <w:tc>
          <w:tcPr>
            <w:tcW w:type="dxa" w:w="317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需求表单、报价卡、排名理由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quote_request</w:t>
            </w:r>
          </w:p>
        </w:tc>
      </w:tr>
      <w:tr>
        <w:trPr>
          <w:cantSplit/>
          <w:keepNex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Portfolio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知道手里的金值多少</w:t>
            </w:r>
          </w:p>
        </w:tc>
        <w:tc>
          <w:tcPr>
            <w:tcW w:type="dxa" w:w="317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汇总、持仓表、回购估值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holding_add</w:t>
            </w:r>
          </w:p>
        </w:tc>
      </w:tr>
      <w:tr>
        <w:trPr>
          <w:cantSplit/>
          <w:keepNex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Alerts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不用一直刷</w:t>
            </w:r>
          </w:p>
        </w:tc>
        <w:tc>
          <w:tcPr>
            <w:tcW w:type="dxa" w:w="317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目标价、渠道、触发历史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alert_create</w:t>
            </w:r>
          </w:p>
        </w:tc>
      </w:tr>
      <w:tr>
        <w:trPr>
          <w:cantSplit/>
          <w:keepNex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Learn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建立信任/SEO</w:t>
            </w:r>
          </w:p>
        </w:tc>
        <w:tc>
          <w:tcPr>
            <w:tcW w:type="dxa" w:w="317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长文、FAQ、结构化数据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learn_read</w:t>
            </w:r>
          </w:p>
        </w:tc>
      </w:tr>
      <w:tr>
        <w:trPr>
          <w:cantSpli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Account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偏好/订阅/数据</w:t>
            </w:r>
          </w:p>
        </w:tc>
        <w:tc>
          <w:tcPr>
            <w:tcW w:type="dxa" w:w="317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登录、语言、货币、导出/删除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subscription_start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9.5  </w:t>
      </w:r>
      <w:r>
        <w:rPr>
          <w:rFonts w:ascii="微软雅黑" w:hAnsi="微软雅黑" w:eastAsia="微软雅黑"/>
          <w:b/>
          <w:color w:val="1B1D18"/>
          <w:sz w:val="24"/>
        </w:rPr>
        <w:t>组件与状态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Primitives：Button、Input、Select、Tabs、Dialog、Sheet、Toast、Tooltip、Skeleton。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Domain：PriceTicker、MarketSwitcher、CostWaterfall、BuybackCard、QuoteCard、HoldingRow。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状态：loading（骨架）、empty（解释 + 下一步）、error（可重试）、offline（本地数据）、stale（时间戳）。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乐观更新：持仓/提醒先本地写入，失败回滚并提示。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9.6  </w:t>
      </w:r>
      <w:r>
        <w:rPr>
          <w:rFonts w:ascii="微软雅黑" w:hAnsi="微软雅黑" w:eastAsia="微软雅黑"/>
          <w:b/>
          <w:color w:val="1B1D18"/>
          <w:sz w:val="24"/>
        </w:rPr>
        <w:t>移动端与 PWA</w:t>
      </w:r>
    </w:p>
    <w:p>
      <w:pPr>
        <w:spacing w:after="100" w:line="341" w:lineRule="auto"/>
      </w:pPr>
      <w:r>
        <w:rPr>
          <w:rFonts w:ascii="微软雅黑" w:hAnsi="微软雅黑" w:eastAsia="微软雅黑"/>
          <w:color w:val="1B1D18"/>
          <w:sz w:val="20"/>
        </w:rPr>
        <w:t>移动端是主战场：底部导航（首页/计算/对比/持仓/我的），计算器单列，结果卡 sticky；安装引导在第二次访问后出现；分享卡生成 1080×1350 的“标价 vs 回购”图。PWA 缓存 shell 与最近市场快照，离线可计算、可看持仓。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9.7  </w:t>
      </w:r>
      <w:r>
        <w:rPr>
          <w:rFonts w:ascii="微软雅黑" w:hAnsi="微软雅黑" w:eastAsia="微软雅黑"/>
          <w:b/>
          <w:color w:val="1B1D18"/>
          <w:sz w:val="24"/>
        </w:rPr>
        <w:t>可访问性与性能预算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9-3 · 体验预算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402"/>
        <w:gridCol w:w="4309"/>
      </w:tblGrid>
      <w:tr>
        <w:trPr>
          <w:cantSplit/>
          <w:tblHeader/>
          <w:keepNext/>
        </w:trPr>
        <w:tc>
          <w:tcPr>
            <w:tcW w:type="dxa" w:w="1701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3402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4309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验证</w:t>
            </w:r>
          </w:p>
        </w:tc>
      </w:tr>
      <w:tr>
        <w:trPr>
          <w:cantSplit/>
          <w:keepNext/>
        </w:trPr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LCP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&lt; 2.5s（4G）</w:t>
            </w:r>
          </w:p>
        </w:tc>
        <w:tc>
          <w:tcPr>
            <w:tcW w:type="dxa" w:w="430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Lighthouse CI</w:t>
            </w:r>
          </w:p>
        </w:tc>
      </w:tr>
      <w:tr>
        <w:trPr>
          <w:cantSplit/>
          <w:keepNext/>
        </w:trPr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INP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&lt; 200ms</w:t>
            </w:r>
          </w:p>
        </w:tc>
        <w:tc>
          <w:tcPr>
            <w:tcW w:type="dxa" w:w="430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RUM + Playwright</w:t>
            </w:r>
          </w:p>
        </w:tc>
      </w:tr>
      <w:tr>
        <w:trPr>
          <w:cantSplit/>
          <w:keepNext/>
        </w:trPr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CLS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&lt; 0.1</w:t>
            </w:r>
          </w:p>
        </w:tc>
        <w:tc>
          <w:tcPr>
            <w:tcW w:type="dxa" w:w="430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Lighthouse</w:t>
            </w:r>
          </w:p>
        </w:tc>
      </w:tr>
      <w:tr>
        <w:trPr>
          <w:cantSplit/>
          <w:keepNext/>
        </w:trPr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JS（首屏）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&lt; 180KB gzip</w:t>
            </w:r>
          </w:p>
        </w:tc>
        <w:tc>
          <w:tcPr>
            <w:tcW w:type="dxa" w:w="430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bundle analyzer</w:t>
            </w:r>
          </w:p>
        </w:tc>
      </w:tr>
      <w:tr>
        <w:trPr>
          <w:cantSplit/>
          <w:keepNext/>
        </w:trPr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可访问性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WCAG 2.2 AA</w:t>
            </w:r>
          </w:p>
        </w:tc>
        <w:tc>
          <w:tcPr>
            <w:tcW w:type="dxa" w:w="430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axe + 手动键盘</w:t>
            </w:r>
          </w:p>
        </w:tc>
      </w:tr>
      <w:tr>
        <w:trPr>
          <w:cantSplit/>
          <w:keepNext/>
        </w:trPr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对比度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≥ 4.5:1</w:t>
            </w:r>
          </w:p>
        </w:tc>
        <w:tc>
          <w:tcPr>
            <w:tcW w:type="dxa" w:w="430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token 审查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减少动效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prefers-reduced-motion</w:t>
            </w:r>
          </w:p>
        </w:tc>
        <w:tc>
          <w:tcPr>
            <w:tcW w:type="dxa" w:w="430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E2E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9.8  </w:t>
      </w:r>
      <w:r>
        <w:rPr>
          <w:rFonts w:ascii="微软雅黑" w:hAnsi="微软雅黑" w:eastAsia="微软雅黑"/>
          <w:b/>
          <w:color w:val="1B1D18"/>
          <w:sz w:val="24"/>
        </w:rPr>
        <w:t>SEO、i18n 与内容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程序化落地页：市场 × 纯度 × 单位 × 场景（如 /th/gold-price-22k-per-gram）。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JSON-LD：FAQPage、Product/Offer（仅对真实报价）、BreadcrumbList。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hreflang：zh-CN / en / th / ar；RTL 从 day 1 用 logical properties。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内容：单位解释、工费谈判、回购折价、以旧换新、旅游买金防坑。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每页必须有：来源、更新时间、免责声明、最后审核人。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9.9  </w:t>
      </w:r>
      <w:r>
        <w:rPr>
          <w:rFonts w:ascii="微软雅黑" w:hAnsi="微软雅黑" w:eastAsia="微软雅黑"/>
          <w:b/>
          <w:color w:val="1B1D18"/>
          <w:sz w:val="24"/>
        </w:rPr>
        <w:t>分析事件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9-4 · 事件 schema（节选）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4535"/>
        <w:gridCol w:w="2835"/>
      </w:tblGrid>
      <w:tr>
        <w:trPr>
          <w:cantSplit/>
          <w:tblHeader/>
          <w:keepNext/>
        </w:trPr>
        <w:tc>
          <w:tcPr>
            <w:tcW w:type="dxa" w:w="2041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事件</w:t>
            </w:r>
          </w:p>
        </w:tc>
        <w:tc>
          <w:tcPr>
            <w:tcW w:type="dxa" w:w="4535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属性</w:t>
            </w:r>
          </w:p>
        </w:tc>
        <w:tc>
          <w:tcPr>
            <w:tcW w:type="dxa" w:w="2835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用途</w:t>
            </w:r>
          </w:p>
        </w:tc>
      </w:tr>
      <w:tr>
        <w:trPr>
          <w:cantSplit/>
          <w:keepNext/>
        </w:trPr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market_view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market, source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市场偏好</w:t>
            </w:r>
          </w:p>
        </w:tc>
      </w:tr>
      <w:tr>
        <w:trPr>
          <w:cantSplit/>
          <w:keepNext/>
        </w:trPr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calc_complete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market, purity, unit, total, premium_bps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激活/定价</w:t>
            </w:r>
          </w:p>
        </w:tc>
      </w:tr>
      <w:tr>
        <w:trPr>
          <w:cantSplit/>
          <w:keepNext/>
        </w:trPr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compare_view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markets, spread_bps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比较价值</w:t>
            </w:r>
          </w:p>
        </w:tc>
      </w:tr>
      <w:tr>
        <w:trPr>
          <w:cantSplit/>
          <w:keepNext/>
        </w:trPr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quote_request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market, weight, purity, dealers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供给需求</w:t>
            </w:r>
          </w:p>
        </w:tc>
      </w:tr>
      <w:tr>
        <w:trPr>
          <w:cantSplit/>
          <w:keepNext/>
        </w:trPr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holding_add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market, grams, cost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留存</w:t>
            </w:r>
          </w:p>
        </w:tc>
      </w:tr>
      <w:tr>
        <w:trPr>
          <w:cantSplit/>
          <w:keepNext/>
        </w:trPr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alert_create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metric, threshold, channel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订阅意向</w:t>
            </w:r>
          </w:p>
        </w:tc>
      </w:tr>
      <w:tr>
        <w:trPr>
          <w:cantSplit/>
        </w:trPr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subscription_start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plan, market, trial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收入</w:t>
            </w:r>
          </w:p>
        </w:tc>
      </w:tr>
    </w:tbl>
    <w:p>
      <w:pPr>
        <w:spacing w:after="20"/>
      </w:pPr>
    </w:p>
    <w:p>
      <w:pPr>
        <w:keepNext/>
        <w:spacing w:before="360" w:after="20"/>
      </w:pPr>
      <w:r>
        <w:rPr>
          <w:rFonts w:ascii="Georgia" w:hAnsi="Georgia" w:eastAsia="Georgia"/>
          <w:b/>
          <w:color w:val="B8892E"/>
          <w:sz w:val="19"/>
        </w:rPr>
        <w:t>10</w:t>
      </w:r>
    </w:p>
    <w:p>
      <w:pPr>
        <w:keepNext/>
        <w:spacing w:before="0" w:after="40"/>
      </w:pPr>
      <w:r>
        <w:rPr>
          <w:rFonts w:ascii="宋体" w:hAnsi="宋体" w:eastAsia="宋体"/>
          <w:b/>
          <w:color w:val="1B1D18"/>
          <w:sz w:val="46"/>
        </w:rPr>
        <w:t>Dealer 网络</w:t>
      </w:r>
    </w:p>
    <w:p>
      <w:pPr>
        <w:keepNext/>
        <w:spacing w:after="200"/>
        <w:pBdr>
          <w:bottom w:val="single" w:sz="6" w:space="8" w:color="B8892E"/>
        </w:pBdr>
      </w:pPr>
      <w:r>
        <w:rPr>
          <w:rFonts w:ascii="微软雅黑" w:hAnsi="微软雅黑" w:eastAsia="微软雅黑"/>
          <w:color w:val="6F7468"/>
          <w:sz w:val="19"/>
        </w:rPr>
        <w:t>从“算得清”到“买得到”，这是 2.0 的真正分水岭。</w:t>
      </w:r>
    </w:p>
    <w:p>
      <w:pPr>
        <w:spacing w:after="100" w:line="341" w:lineRule="auto"/>
      </w:pPr>
      <w:r>
        <w:rPr>
          <w:rFonts w:ascii="微软雅黑" w:hAnsi="微软雅黑" w:eastAsia="微软雅黑"/>
          <w:color w:val="1B1D18"/>
          <w:sz w:val="20"/>
        </w:rPr>
        <w:t>没有 Dealer，GoldLens 只是一个更漂亮的计算器；有了 Dealer，用户才能在“算清楚”之后拿到可比较的报价。V1 不追求全国覆盖，先在曼谷/清迈选 10–20 家独立金店，把“提交需求 → 24h 内 3 条有效报价 → 到店”跑通。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6486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ote-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48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微软雅黑" w:hAnsi="微软雅黑" w:eastAsia="微软雅黑"/>
          <w:color w:val="6F7468"/>
          <w:sz w:val="15"/>
        </w:rPr>
        <w:t>图 10-1 · 报价请求流程：需求结构化、分发给已验证 Dealer、归一化后排名。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10.1  </w:t>
      </w:r>
      <w:r>
        <w:rPr>
          <w:rFonts w:ascii="微软雅黑" w:hAnsi="微软雅黑" w:eastAsia="微软雅黑"/>
          <w:b/>
          <w:color w:val="1B1D18"/>
          <w:sz w:val="24"/>
        </w:rPr>
        <w:t>Dealer 入驻与验证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10-1 · Dealer 生命周期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4082"/>
        <w:gridCol w:w="2494"/>
        <w:gridCol w:w="1701"/>
      </w:tblGrid>
      <w:tr>
        <w:trPr>
          <w:cantSplit/>
          <w:tblHeader/>
          <w:keepNext/>
        </w:trPr>
        <w:tc>
          <w:tcPr>
            <w:tcW w:type="dxa" w:w="113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4082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动作</w:t>
            </w:r>
          </w:p>
        </w:tc>
        <w:tc>
          <w:tcPr>
            <w:tcW w:type="dxa" w:w="249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系统</w:t>
            </w:r>
          </w:p>
        </w:tc>
        <w:tc>
          <w:tcPr>
            <w:tcW w:type="dxa" w:w="1701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人工</w:t>
            </w:r>
          </w:p>
        </w:tc>
      </w:tr>
      <w:tr>
        <w:trPr>
          <w:cantSplit/>
          <w:keepNex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申请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营业执照、门店照片、联系人、品类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Portal 表单 + 文件上传</w:t>
            </w:r>
          </w:p>
        </w:tc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初审</w:t>
            </w:r>
          </w:p>
        </w:tc>
      </w:tr>
      <w:tr>
        <w:trPr>
          <w:cantSplit/>
          <w:keepNex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验证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电话/视频/实地（抽样）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Admin 工单</w:t>
            </w:r>
          </w:p>
        </w:tc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运营</w:t>
            </w:r>
          </w:p>
        </w:tc>
      </w:tr>
      <w:tr>
        <w:trPr>
          <w:cantSplit/>
          <w:keepNex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上架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门店、营业时间、支持品类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Admin 审核</w:t>
            </w:r>
          </w:p>
        </w:tc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运营</w:t>
            </w:r>
          </w:p>
        </w:tc>
      </w:tr>
      <w:tr>
        <w:trPr>
          <w:cantSplit/>
          <w:keepNex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报价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收到 request 后 24h 内提交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Portal / CSV / API</w:t>
            </w:r>
          </w:p>
        </w:tc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异常复核</w:t>
            </w:r>
          </w:p>
        </w:tc>
      </w:tr>
      <w:tr>
        <w:trPr>
          <w:cantSplit/>
          <w:keepNex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评级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响应率、过期率、投诉率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自动</w:t>
            </w:r>
          </w:p>
        </w:tc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季度复核</w:t>
            </w:r>
          </w:p>
        </w:tc>
      </w:tr>
      <w:tr>
        <w:trPr>
          <w:cantSpli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退出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下架、历史报价保留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Admin</w:t>
            </w:r>
          </w:p>
        </w:tc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运营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10.2  </w:t>
      </w:r>
      <w:r>
        <w:rPr>
          <w:rFonts w:ascii="微软雅黑" w:hAnsi="微软雅黑" w:eastAsia="微软雅黑"/>
          <w:b/>
          <w:color w:val="1B1D18"/>
          <w:sz w:val="24"/>
        </w:rPr>
        <w:t>报价请求的生命周期</w:t>
      </w:r>
    </w:p>
    <w:p>
      <w:pPr>
        <w:spacing w:after="40" w:line="348" w:lineRule="auto"/>
        <w:ind w:left="425" w:hanging="255"/>
      </w:pPr>
      <w:r>
        <w:rPr>
          <w:rFonts w:ascii="Georgia" w:hAnsi="Georgia" w:eastAsia="Georgia"/>
          <w:b/>
          <w:color w:val="B8892E"/>
          <w:sz w:val="19"/>
        </w:rPr>
        <w:t xml:space="preserve">1.  </w:t>
      </w:r>
      <w:r>
        <w:rPr>
          <w:rFonts w:ascii="微软雅黑" w:hAnsi="微软雅黑" w:eastAsia="微软雅黑"/>
          <w:color w:val="1B1D18"/>
          <w:sz w:val="19"/>
        </w:rPr>
        <w:t>draft：用户填写市场、品类、纯度、重量、城市、期望时间。</w:t>
      </w:r>
    </w:p>
    <w:p>
      <w:pPr>
        <w:spacing w:after="40" w:line="348" w:lineRule="auto"/>
        <w:ind w:left="425" w:hanging="255"/>
      </w:pPr>
      <w:r>
        <w:rPr>
          <w:rFonts w:ascii="Georgia" w:hAnsi="Georgia" w:eastAsia="Georgia"/>
          <w:b/>
          <w:color w:val="B8892E"/>
          <w:sz w:val="19"/>
        </w:rPr>
        <w:t xml:space="preserve">2.  </w:t>
      </w:r>
      <w:r>
        <w:rPr>
          <w:rFonts w:ascii="微软雅黑" w:hAnsi="微软雅黑" w:eastAsia="微软雅黑"/>
          <w:color w:val="1B1D18"/>
          <w:sz w:val="19"/>
        </w:rPr>
        <w:t>submitted：校验 + 去重 + 风控；写入 DB，入队。</w:t>
      </w:r>
    </w:p>
    <w:p>
      <w:pPr>
        <w:spacing w:after="40" w:line="348" w:lineRule="auto"/>
        <w:ind w:left="425" w:hanging="255"/>
      </w:pPr>
      <w:r>
        <w:rPr>
          <w:rFonts w:ascii="Georgia" w:hAnsi="Georgia" w:eastAsia="Georgia"/>
          <w:b/>
          <w:color w:val="B8892E"/>
          <w:sz w:val="19"/>
        </w:rPr>
        <w:t xml:space="preserve">3.  </w:t>
      </w:r>
      <w:r>
        <w:rPr>
          <w:rFonts w:ascii="微软雅黑" w:hAnsi="微软雅黑" w:eastAsia="微软雅黑"/>
          <w:color w:val="1B1D18"/>
          <w:sz w:val="19"/>
        </w:rPr>
        <w:t>dispatched：按城市/品类/验证等级分发给 3–8 家 Dealer。</w:t>
      </w:r>
    </w:p>
    <w:p>
      <w:pPr>
        <w:spacing w:after="40" w:line="348" w:lineRule="auto"/>
        <w:ind w:left="425" w:hanging="255"/>
      </w:pPr>
      <w:r>
        <w:rPr>
          <w:rFonts w:ascii="Georgia" w:hAnsi="Georgia" w:eastAsia="Georgia"/>
          <w:b/>
          <w:color w:val="B8892E"/>
          <w:sz w:val="19"/>
        </w:rPr>
        <w:t xml:space="preserve">4.  </w:t>
      </w:r>
      <w:r>
        <w:rPr>
          <w:rFonts w:ascii="微软雅黑" w:hAnsi="微软雅黑" w:eastAsia="微软雅黑"/>
          <w:color w:val="1B1D18"/>
          <w:sz w:val="19"/>
        </w:rPr>
        <w:t>quoted：至少 1 条有效报价；过期报价自动剔除。</w:t>
      </w:r>
    </w:p>
    <w:p>
      <w:pPr>
        <w:spacing w:after="40" w:line="348" w:lineRule="auto"/>
        <w:ind w:left="425" w:hanging="255"/>
      </w:pPr>
      <w:r>
        <w:rPr>
          <w:rFonts w:ascii="Georgia" w:hAnsi="Georgia" w:eastAsia="Georgia"/>
          <w:b/>
          <w:color w:val="B8892E"/>
          <w:sz w:val="19"/>
        </w:rPr>
        <w:t xml:space="preserve">5.  </w:t>
      </w:r>
      <w:r>
        <w:rPr>
          <w:rFonts w:ascii="微软雅黑" w:hAnsi="微软雅黑" w:eastAsia="微软雅黑"/>
          <w:color w:val="1B1D18"/>
          <w:sz w:val="19"/>
        </w:rPr>
        <w:t>ranked：归一化 + 排名 + 理由；用户可见。</w:t>
      </w:r>
    </w:p>
    <w:p>
      <w:pPr>
        <w:spacing w:after="40" w:line="348" w:lineRule="auto"/>
        <w:ind w:left="425" w:hanging="255"/>
      </w:pPr>
      <w:r>
        <w:rPr>
          <w:rFonts w:ascii="Georgia" w:hAnsi="Georgia" w:eastAsia="Georgia"/>
          <w:b/>
          <w:color w:val="B8892E"/>
          <w:sz w:val="19"/>
        </w:rPr>
        <w:t xml:space="preserve">6.  </w:t>
      </w:r>
      <w:r>
        <w:rPr>
          <w:rFonts w:ascii="微软雅黑" w:hAnsi="微软雅黑" w:eastAsia="微软雅黑"/>
          <w:color w:val="1B1D18"/>
          <w:sz w:val="19"/>
        </w:rPr>
        <w:t>connected：用户选择到店/联系；生成 lead，记录归因。</w:t>
      </w:r>
    </w:p>
    <w:p>
      <w:pPr>
        <w:spacing w:after="40" w:line="348" w:lineRule="auto"/>
        <w:ind w:left="425" w:hanging="255"/>
      </w:pPr>
      <w:r>
        <w:rPr>
          <w:rFonts w:ascii="Georgia" w:hAnsi="Georgia" w:eastAsia="Georgia"/>
          <w:b/>
          <w:color w:val="B8892E"/>
          <w:sz w:val="19"/>
        </w:rPr>
        <w:t xml:space="preserve">7.  </w:t>
      </w:r>
      <w:r>
        <w:rPr>
          <w:rFonts w:ascii="微软雅黑" w:hAnsi="微软雅黑" w:eastAsia="微软雅黑"/>
          <w:color w:val="1B1D18"/>
          <w:sz w:val="19"/>
        </w:rPr>
        <w:t>closed：成交/流失/过期；7 天后匿名化。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10.3  </w:t>
      </w:r>
      <w:r>
        <w:rPr>
          <w:rFonts w:ascii="微软雅黑" w:hAnsi="微软雅黑" w:eastAsia="微软雅黑"/>
          <w:b/>
          <w:color w:val="1B1D18"/>
          <w:sz w:val="24"/>
        </w:rPr>
        <w:t>排名与展示</w:t>
      </w:r>
    </w:p>
    <w:p>
      <w:pPr>
        <w:spacing w:after="100" w:line="341" w:lineRule="auto"/>
      </w:pPr>
      <w:r>
        <w:rPr>
          <w:rFonts w:ascii="微软雅黑" w:hAnsi="微软雅黑" w:eastAsia="微软雅黑"/>
          <w:color w:val="1B1D18"/>
          <w:sz w:val="20"/>
        </w:rPr>
        <w:t>排名公式见 7.6。前端必须同时展示：到手价、回购价、价差、有效期、验证等级、距离/营业时间、排名理由。不允许只显示“最低价”而隐藏回购价；不允许把赞助位混进自然排名。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10.4  </w:t>
      </w:r>
      <w:r>
        <w:rPr>
          <w:rFonts w:ascii="微软雅黑" w:hAnsi="微软雅黑" w:eastAsia="微软雅黑"/>
          <w:b/>
          <w:color w:val="1B1D18"/>
          <w:sz w:val="24"/>
        </w:rPr>
        <w:t>反滥用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10-2 · 滥用与防护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628"/>
        <w:gridCol w:w="4195"/>
      </w:tblGrid>
      <w:tr>
        <w:trPr>
          <w:cantSplit/>
          <w:tblHeader/>
          <w:keepNext/>
        </w:trPr>
        <w:tc>
          <w:tcPr>
            <w:tcW w:type="dxa" w:w="1587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风险</w:t>
            </w:r>
          </w:p>
        </w:tc>
        <w:tc>
          <w:tcPr>
            <w:tcW w:type="dxa" w:w="3628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表现</w:t>
            </w:r>
          </w:p>
        </w:tc>
        <w:tc>
          <w:tcPr>
            <w:tcW w:type="dxa" w:w="4195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防护</w:t>
            </w:r>
          </w:p>
        </w:tc>
      </w:tr>
      <w:tr>
        <w:trPr>
          <w:cantSplit/>
          <w:keepNext/>
        </w:trPr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假询价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竞对刷需求/套价</w:t>
            </w:r>
          </w:p>
        </w:tc>
        <w:tc>
          <w:tcPr>
            <w:tcW w:type="dxa" w:w="419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手机验证、频率限制、设备指纹、人工抽检</w:t>
            </w:r>
          </w:p>
        </w:tc>
      </w:tr>
      <w:tr>
        <w:trPr>
          <w:cantSplit/>
          <w:keepNext/>
        </w:trPr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假报价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低价引流、到店加价</w:t>
            </w:r>
          </w:p>
        </w:tc>
        <w:tc>
          <w:tcPr>
            <w:tcW w:type="dxa" w:w="419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报价有效期、验证等级、投诉扣分、下架</w:t>
            </w:r>
          </w:p>
        </w:tc>
      </w:tr>
      <w:tr>
        <w:trPr>
          <w:cantSplit/>
          <w:keepNext/>
        </w:trPr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刷排名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虚假验证/刷响应率</w:t>
            </w:r>
          </w:p>
        </w:tc>
        <w:tc>
          <w:tcPr>
            <w:tcW w:type="dxa" w:w="419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服务端计算、审计日志、季度复核</w:t>
            </w:r>
          </w:p>
        </w:tc>
      </w:tr>
      <w:tr>
        <w:trPr>
          <w:cantSplit/>
          <w:keepNext/>
        </w:trPr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隐私泄露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用户手机号被滥用</w:t>
            </w:r>
          </w:p>
        </w:tc>
        <w:tc>
          <w:tcPr>
            <w:tcW w:type="dxa" w:w="419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虚拟号/脱敏、最小化字段、访问审计</w:t>
            </w:r>
          </w:p>
        </w:tc>
      </w:tr>
      <w:tr>
        <w:trPr>
          <w:cantSplit/>
        </w:trPr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刷单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伪造 lead 成交</w:t>
            </w:r>
          </w:p>
        </w:tc>
        <w:tc>
          <w:tcPr>
            <w:tcW w:type="dxa" w:w="419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归因链接、门店确认、抽样回访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10.5  </w:t>
      </w:r>
      <w:r>
        <w:rPr>
          <w:rFonts w:ascii="微软雅黑" w:hAnsi="微软雅黑" w:eastAsia="微软雅黑"/>
          <w:b/>
          <w:color w:val="1B1D18"/>
          <w:sz w:val="24"/>
        </w:rPr>
        <w:t>商业模式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10-3 · Dealer 侧收入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061"/>
        <w:gridCol w:w="2494"/>
        <w:gridCol w:w="2381"/>
      </w:tblGrid>
      <w:tr>
        <w:trPr>
          <w:cantSplit/>
          <w:tblHeader/>
          <w:keepNext/>
        </w:trPr>
        <w:tc>
          <w:tcPr>
            <w:tcW w:type="dxa" w:w="147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模式</w:t>
            </w:r>
          </w:p>
        </w:tc>
        <w:tc>
          <w:tcPr>
            <w:tcW w:type="dxa" w:w="3061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定价</w:t>
            </w:r>
          </w:p>
        </w:tc>
        <w:tc>
          <w:tcPr>
            <w:tcW w:type="dxa" w:w="249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适用</w:t>
            </w:r>
          </w:p>
        </w:tc>
        <w:tc>
          <w:tcPr>
            <w:tcW w:type="dxa" w:w="2381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风险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Lead fee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每条有效 lead 50–200 THB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试点期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线索质量争议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成交佣金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成交额 0.5%–1.5%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规模期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归因/跳单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SaaS 订阅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1,500–5,000 THB/月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连锁/多门店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销售周期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白标计算器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3,000–15,000 THB/月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旅游平台/金店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定制成本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10.6  </w:t>
      </w:r>
      <w:r>
        <w:rPr>
          <w:rFonts w:ascii="微软雅黑" w:hAnsi="微软雅黑" w:eastAsia="微软雅黑"/>
          <w:b/>
          <w:color w:val="1B1D18"/>
          <w:sz w:val="24"/>
        </w:rPr>
        <w:t>冷启动打法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先做“到店前检查”而不是“成交承诺”：降低 Dealer 戒心，先给高质量到店客户。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选 10 家独立店，覆盖 3 个游客/外派聚集区；每家给专属二维码/落地页。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用真实 GTA 数据做每日内容，吸引搜索流量，再把高意向用户导入询价。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前 100 条 lead 人工跟进，记录“报价→到店→成交”全链路，校准排名与定价。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不要在第一天签独家；用 3 个月数据证明 lead 质量，再谈深度合作。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10.7  </w:t>
      </w:r>
      <w:r>
        <w:rPr>
          <w:rFonts w:ascii="微软雅黑" w:hAnsi="微软雅黑" w:eastAsia="微软雅黑"/>
          <w:b/>
          <w:color w:val="1B1D18"/>
          <w:sz w:val="24"/>
        </w:rPr>
        <w:t>Dealer SLA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10-4 · 服务标准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02"/>
        <w:gridCol w:w="4195"/>
      </w:tblGrid>
      <w:tr>
        <w:trPr>
          <w:cantSplit/>
          <w:tblHeader/>
          <w:keepNext/>
        </w:trPr>
        <w:tc>
          <w:tcPr>
            <w:tcW w:type="dxa" w:w="181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3402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标准</w:t>
            </w:r>
          </w:p>
        </w:tc>
        <w:tc>
          <w:tcPr>
            <w:tcW w:type="dxa" w:w="4195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未达标动作</w:t>
            </w:r>
          </w:p>
        </w:tc>
      </w:tr>
      <w:tr>
        <w:trPr>
          <w:cantSplit/>
          <w:keepNext/>
        </w:trPr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响应时间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工作日 24h 内</w:t>
            </w:r>
          </w:p>
        </w:tc>
        <w:tc>
          <w:tcPr>
            <w:tcW w:type="dxa" w:w="419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降权/提醒</w:t>
            </w:r>
          </w:p>
        </w:tc>
      </w:tr>
      <w:tr>
        <w:trPr>
          <w:cantSplit/>
          <w:keepNext/>
        </w:trPr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有效报价率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≥ 80%</w:t>
            </w:r>
          </w:p>
        </w:tc>
        <w:tc>
          <w:tcPr>
            <w:tcW w:type="dxa" w:w="419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培训/降权</w:t>
            </w:r>
          </w:p>
        </w:tc>
      </w:tr>
      <w:tr>
        <w:trPr>
          <w:cantSplit/>
          <w:keepNext/>
        </w:trPr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报价过期率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≤ 10%</w:t>
            </w:r>
          </w:p>
        </w:tc>
        <w:tc>
          <w:tcPr>
            <w:tcW w:type="dxa" w:w="419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提醒/下架</w:t>
            </w:r>
          </w:p>
        </w:tc>
      </w:tr>
      <w:tr>
        <w:trPr>
          <w:cantSplit/>
          <w:keepNext/>
        </w:trPr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投诉率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≤ 2%</w:t>
            </w:r>
          </w:p>
        </w:tc>
        <w:tc>
          <w:tcPr>
            <w:tcW w:type="dxa" w:w="419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复核/暂停</w:t>
            </w:r>
          </w:p>
        </w:tc>
      </w:tr>
      <w:tr>
        <w:trPr>
          <w:cantSplit/>
        </w:trPr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到店确认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48h 内</w:t>
            </w:r>
          </w:p>
        </w:tc>
        <w:tc>
          <w:tcPr>
            <w:tcW w:type="dxa" w:w="419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影响评级</w:t>
            </w:r>
          </w:p>
        </w:tc>
      </w:tr>
    </w:tbl>
    <w:p>
      <w:pPr>
        <w:spacing w:after="20"/>
      </w:pPr>
    </w:p>
    <w:p>
      <w:pPr>
        <w:keepNext/>
        <w:spacing w:before="360" w:after="20"/>
      </w:pPr>
      <w:r>
        <w:rPr>
          <w:rFonts w:ascii="Georgia" w:hAnsi="Georgia" w:eastAsia="Georgia"/>
          <w:b/>
          <w:color w:val="B8892E"/>
          <w:sz w:val="19"/>
        </w:rPr>
        <w:t>11</w:t>
      </w:r>
    </w:p>
    <w:p>
      <w:pPr>
        <w:keepNext/>
        <w:spacing w:before="0" w:after="40"/>
      </w:pPr>
      <w:r>
        <w:rPr>
          <w:rFonts w:ascii="宋体" w:hAnsi="宋体" w:eastAsia="宋体"/>
          <w:b/>
          <w:color w:val="1B1D18"/>
          <w:sz w:val="46"/>
        </w:rPr>
        <w:t>账户、同步、提醒与订阅</w:t>
      </w:r>
    </w:p>
    <w:p>
      <w:pPr>
        <w:keepNext/>
        <w:spacing w:after="200"/>
        <w:pBdr>
          <w:bottom w:val="single" w:sz="6" w:space="8" w:color="B8892E"/>
        </w:pBdr>
      </w:pPr>
      <w:r>
        <w:rPr>
          <w:rFonts w:ascii="微软雅黑" w:hAnsi="微软雅黑" w:eastAsia="微软雅黑"/>
          <w:color w:val="6F7468"/>
          <w:sz w:val="19"/>
        </w:rPr>
        <w:t>让用户“下次还回来”，而不是每次重新开始。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11.1  </w:t>
      </w:r>
      <w:r>
        <w:rPr>
          <w:rFonts w:ascii="微软雅黑" w:hAnsi="微软雅黑" w:eastAsia="微软雅黑"/>
          <w:b/>
          <w:color w:val="1B1D18"/>
          <w:sz w:val="24"/>
        </w:rPr>
        <w:t>认证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11-1 · 登录方式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268"/>
        <w:gridCol w:w="1134"/>
        <w:gridCol w:w="4082"/>
      </w:tblGrid>
      <w:tr>
        <w:trPr>
          <w:cantSplit/>
          <w:tblHeader/>
          <w:keepNext/>
        </w:trPr>
        <w:tc>
          <w:tcPr>
            <w:tcW w:type="dxa" w:w="1928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方式</w:t>
            </w:r>
          </w:p>
        </w:tc>
        <w:tc>
          <w:tcPr>
            <w:tcW w:type="dxa" w:w="2268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市场</w:t>
            </w:r>
          </w:p>
        </w:tc>
        <w:tc>
          <w:tcPr>
            <w:tcW w:type="dxa" w:w="113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4082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说明</w:t>
            </w:r>
          </w:p>
        </w:tc>
      </w:tr>
      <w:tr>
        <w:trPr>
          <w:cantSplit/>
          <w:keepNext/>
        </w:trPr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Google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全球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P0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转化高、实现快</w:t>
            </w:r>
          </w:p>
        </w:tc>
      </w:tr>
      <w:tr>
        <w:trPr>
          <w:cantSplit/>
          <w:keepNext/>
        </w:trPr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Apple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全球/iOS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P0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App Store 规则与隐私</w:t>
            </w:r>
          </w:p>
        </w:tc>
      </w:tr>
      <w:tr>
        <w:trPr>
          <w:cantSplit/>
          <w:keepNext/>
        </w:trPr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Email magic link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全球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P0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无密码、低摩擦</w:t>
            </w:r>
          </w:p>
        </w:tc>
      </w:tr>
      <w:tr>
        <w:trPr>
          <w:cantSplit/>
          <w:keepNext/>
        </w:trPr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Phone OTP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泰国/印度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P1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本地习惯，但成本/滥用高</w:t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Passkey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全球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P2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安全升级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11.2  </w:t>
      </w:r>
      <w:r>
        <w:rPr>
          <w:rFonts w:ascii="微软雅黑" w:hAnsi="微软雅黑" w:eastAsia="微软雅黑"/>
          <w:b/>
          <w:color w:val="1B1D18"/>
          <w:sz w:val="24"/>
        </w:rPr>
        <w:t>本地优先同步</w:t>
      </w:r>
    </w:p>
    <w:p>
      <w:pPr>
        <w:spacing w:after="100" w:line="341" w:lineRule="auto"/>
      </w:pPr>
      <w:r>
        <w:rPr>
          <w:rFonts w:ascii="微软雅黑" w:hAnsi="微软雅黑" w:eastAsia="微软雅黑"/>
          <w:color w:val="1B1D18"/>
          <w:sz w:val="20"/>
        </w:rPr>
        <w:t>游客也能完整使用计算器和临时持仓；登录后把本地数据合并到云端。同步采用“客户端生成 id + 版本号 + updated_at”的增量模式，冲突按字段级 last-write-wins，金额/重量等关键字段保留冲突副本并提示用户。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11-2 · 同步对象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381"/>
        <w:gridCol w:w="2948"/>
        <w:gridCol w:w="2381"/>
      </w:tblGrid>
      <w:tr>
        <w:trPr>
          <w:cantSplit/>
          <w:tblHeader/>
          <w:keepNext/>
        </w:trPr>
        <w:tc>
          <w:tcPr>
            <w:tcW w:type="dxa" w:w="1701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对象</w:t>
            </w:r>
          </w:p>
        </w:tc>
        <w:tc>
          <w:tcPr>
            <w:tcW w:type="dxa" w:w="2381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本地</w:t>
            </w:r>
          </w:p>
        </w:tc>
        <w:tc>
          <w:tcPr>
            <w:tcW w:type="dxa" w:w="2948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云端</w:t>
            </w:r>
          </w:p>
        </w:tc>
        <w:tc>
          <w:tcPr>
            <w:tcW w:type="dxa" w:w="2381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冲突策略</w:t>
            </w:r>
          </w:p>
        </w:tc>
      </w:tr>
      <w:tr>
        <w:trPr>
          <w:cantSplit/>
          <w:keepNext/>
        </w:trPr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持仓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IndexedDB</w:t>
            </w:r>
          </w:p>
        </w:tc>
        <w:tc>
          <w:tcPr>
            <w:tcW w:type="dxa" w:w="294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holdings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字段级 LWW + 冲突副本</w:t>
            </w:r>
          </w:p>
        </w:tc>
      </w:tr>
      <w:tr>
        <w:trPr>
          <w:cantSplit/>
          <w:keepNext/>
        </w:trPr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提醒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IndexedDB</w:t>
            </w:r>
          </w:p>
        </w:tc>
        <w:tc>
          <w:tcPr>
            <w:tcW w:type="dxa" w:w="294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alerts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以云端为准，本地排队</w:t>
            </w:r>
          </w:p>
        </w:tc>
      </w:tr>
      <w:tr>
        <w:trPr>
          <w:cantSplit/>
          <w:keepNext/>
        </w:trPr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偏好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localStorage</w:t>
            </w:r>
          </w:p>
        </w:tc>
        <w:tc>
          <w:tcPr>
            <w:tcW w:type="dxa" w:w="294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profiles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LWW</w:t>
            </w:r>
          </w:p>
        </w:tc>
      </w:tr>
      <w:tr>
        <w:trPr>
          <w:cantSplit/>
          <w:keepNext/>
        </w:trPr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计算历史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IndexedDB（可选）</w:t>
            </w:r>
          </w:p>
        </w:tc>
        <w:tc>
          <w:tcPr>
            <w:tcW w:type="dxa" w:w="294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quote_history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追加，不覆盖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收据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本地缓存</w:t>
            </w:r>
          </w:p>
        </w:tc>
        <w:tc>
          <w:tcPr>
            <w:tcW w:type="dxa" w:w="294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R2 + DB 元数据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以云端为准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11.3  </w:t>
      </w:r>
      <w:r>
        <w:rPr>
          <w:rFonts w:ascii="微软雅黑" w:hAnsi="微软雅黑" w:eastAsia="微软雅黑"/>
          <w:b/>
          <w:color w:val="1B1D18"/>
          <w:sz w:val="24"/>
        </w:rPr>
        <w:t>提醒引擎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调度：worker 每 60 秒扫描到期提醒；按市场/指标分组，批量查询最新价格。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触发：below / above / percent_change；同一提醒 24h 内只触发一次。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渠道：Web Push、Email、LINE；用户可选，默认站内 + Email。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静默：22:00–07:00 不推送非紧急提醒；时区按用户偏好。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幂等：alert_id + triggered_at 唯一；失败重试 3 次后进 DLQ。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11.4  </w:t>
      </w:r>
      <w:r>
        <w:rPr>
          <w:rFonts w:ascii="微软雅黑" w:hAnsi="微软雅黑" w:eastAsia="微软雅黑"/>
          <w:b/>
          <w:color w:val="1B1D18"/>
          <w:sz w:val="24"/>
        </w:rPr>
        <w:t>订阅与权益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11-3 · Free vs Pro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3288"/>
        <w:gridCol w:w="3742"/>
      </w:tblGrid>
      <w:tr>
        <w:trPr>
          <w:cantSplit/>
          <w:tblHeader/>
          <w:keepNext/>
        </w:trPr>
        <w:tc>
          <w:tcPr>
            <w:tcW w:type="dxa" w:w="2381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3288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Free</w:t>
            </w:r>
          </w:p>
        </w:tc>
        <w:tc>
          <w:tcPr>
            <w:tcW w:type="dxa" w:w="3742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Pro</w:t>
            </w:r>
          </w:p>
        </w:tc>
      </w:tr>
      <w:tr>
        <w:trPr>
          <w:cantSplit/>
          <w:keepNext/>
        </w:trPr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计算器</w:t>
            </w:r>
          </w:p>
        </w:tc>
        <w:tc>
          <w:tcPr>
            <w:tcW w:type="dxa" w:w="328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无限</w:t>
            </w:r>
          </w:p>
        </w:tc>
        <w:tc>
          <w:tcPr>
            <w:tcW w:type="dxa" w:w="374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无限</w:t>
            </w:r>
          </w:p>
        </w:tc>
      </w:tr>
      <w:tr>
        <w:trPr>
          <w:cantSplit/>
          <w:keepNext/>
        </w:trPr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市场</w:t>
            </w:r>
          </w:p>
        </w:tc>
        <w:tc>
          <w:tcPr>
            <w:tcW w:type="dxa" w:w="328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1 个默认</w:t>
            </w:r>
          </w:p>
        </w:tc>
        <w:tc>
          <w:tcPr>
            <w:tcW w:type="dxa" w:w="374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全部 + 跨市场对比</w:t>
            </w:r>
          </w:p>
        </w:tc>
      </w:tr>
      <w:tr>
        <w:trPr>
          <w:cantSplit/>
          <w:keepNext/>
        </w:trPr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持仓</w:t>
            </w:r>
          </w:p>
        </w:tc>
        <w:tc>
          <w:tcPr>
            <w:tcW w:type="dxa" w:w="328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3 条</w:t>
            </w:r>
          </w:p>
        </w:tc>
        <w:tc>
          <w:tcPr>
            <w:tcW w:type="dxa" w:w="374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无限 + 历史</w:t>
            </w:r>
          </w:p>
        </w:tc>
      </w:tr>
      <w:tr>
        <w:trPr>
          <w:cantSplit/>
          <w:keepNext/>
        </w:trPr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提醒</w:t>
            </w:r>
          </w:p>
        </w:tc>
        <w:tc>
          <w:tcPr>
            <w:tcW w:type="dxa" w:w="328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1 条</w:t>
            </w:r>
          </w:p>
        </w:tc>
        <w:tc>
          <w:tcPr>
            <w:tcW w:type="dxa" w:w="374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无限 + 多渠道</w:t>
            </w:r>
          </w:p>
        </w:tc>
      </w:tr>
      <w:tr>
        <w:trPr>
          <w:cantSplit/>
          <w:keepNext/>
        </w:trPr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报价请求</w:t>
            </w:r>
          </w:p>
        </w:tc>
        <w:tc>
          <w:tcPr>
            <w:tcW w:type="dxa" w:w="328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每月 1 次</w:t>
            </w:r>
          </w:p>
        </w:tc>
        <w:tc>
          <w:tcPr>
            <w:tcW w:type="dxa" w:w="374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每月 5 次</w:t>
            </w:r>
          </w:p>
        </w:tc>
      </w:tr>
      <w:tr>
        <w:trPr>
          <w:cantSplit/>
          <w:keepNext/>
        </w:trPr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导出</w:t>
            </w:r>
          </w:p>
        </w:tc>
        <w:tc>
          <w:tcPr>
            <w:tcW w:type="dxa" w:w="328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—</w:t>
            </w:r>
          </w:p>
        </w:tc>
        <w:tc>
          <w:tcPr>
            <w:tcW w:type="dxa" w:w="374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PDF/CSV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去广告</w:t>
            </w:r>
          </w:p>
        </w:tc>
        <w:tc>
          <w:tcPr>
            <w:tcW w:type="dxa" w:w="328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—</w:t>
            </w:r>
          </w:p>
        </w:tc>
        <w:tc>
          <w:tcPr>
            <w:tcW w:type="dxa" w:w="374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是</w:t>
            </w:r>
          </w:p>
        </w:tc>
      </w:tr>
    </w:tbl>
    <w:p>
      <w:pPr>
        <w:spacing w:after="20"/>
      </w:pPr>
    </w:p>
    <w:p>
      <w:pPr>
        <w:spacing w:after="100" w:line="341" w:lineRule="auto"/>
      </w:pPr>
      <w:r>
        <w:rPr>
          <w:rFonts w:ascii="微软雅黑" w:hAnsi="微软雅黑" w:eastAsia="微软雅黑"/>
          <w:color w:val="1B1D18"/>
          <w:sz w:val="20"/>
        </w:rPr>
        <w:t>定价建议：泰国 99 THB/月或 799 THB/年；阿联酋 9 AED/月；印度 99 INR/月。用 PPP 定价，不做全球统一价。支付失败进入 7 天宽限期，不立即降级。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11.5  </w:t>
      </w:r>
      <w:r>
        <w:rPr>
          <w:rFonts w:ascii="微软雅黑" w:hAnsi="微软雅黑" w:eastAsia="微软雅黑"/>
          <w:b/>
          <w:color w:val="1B1D18"/>
          <w:sz w:val="24"/>
        </w:rPr>
        <w:t>数据权利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导出：JSON/CSV，包含持仓、提醒、报价、订阅；24h 内生成下载链接。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删除：软删除 30 天，之后硬删除；审计日志保留法定最短期限。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同意：分析/营销分开授权；拒绝分析不影响核心功能。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隐私政策：按市场本地化，说明数据用途、共享方、保留期。</w:t>
      </w:r>
    </w:p>
    <w:p>
      <w:pPr>
        <w:keepNext/>
        <w:spacing w:before="360" w:after="20"/>
      </w:pPr>
      <w:r>
        <w:rPr>
          <w:rFonts w:ascii="Georgia" w:hAnsi="Georgia" w:eastAsia="Georgia"/>
          <w:b/>
          <w:color w:val="B8892E"/>
          <w:sz w:val="19"/>
        </w:rPr>
        <w:t>12</w:t>
      </w:r>
    </w:p>
    <w:p>
      <w:pPr>
        <w:keepNext/>
        <w:spacing w:before="0" w:after="40"/>
      </w:pPr>
      <w:r>
        <w:rPr>
          <w:rFonts w:ascii="宋体" w:hAnsi="宋体" w:eastAsia="宋体"/>
          <w:b/>
          <w:color w:val="1B1D18"/>
          <w:sz w:val="46"/>
        </w:rPr>
        <w:t>安全、合规与运维</w:t>
      </w:r>
    </w:p>
    <w:p>
      <w:pPr>
        <w:keepNext/>
        <w:spacing w:after="200"/>
        <w:pBdr>
          <w:bottom w:val="single" w:sz="6" w:space="8" w:color="B8892E"/>
        </w:pBdr>
      </w:pPr>
      <w:r>
        <w:rPr>
          <w:rFonts w:ascii="微软雅黑" w:hAnsi="微软雅黑" w:eastAsia="微软雅黑"/>
          <w:color w:val="6F7468"/>
          <w:sz w:val="19"/>
        </w:rPr>
        <w:t>不碰钱，但同样要按金融级信任标准做。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12.1  </w:t>
      </w:r>
      <w:r>
        <w:rPr>
          <w:rFonts w:ascii="微软雅黑" w:hAnsi="微软雅黑" w:eastAsia="微软雅黑"/>
          <w:b/>
          <w:color w:val="1B1D18"/>
          <w:sz w:val="24"/>
        </w:rPr>
        <w:t>威胁模型（STRIDE 摘要）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12-1 · 主要威胁与控制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969"/>
        <w:gridCol w:w="3628"/>
      </w:tblGrid>
      <w:tr>
        <w:trPr>
          <w:cantSplit/>
          <w:tblHeader/>
          <w:keepNext/>
        </w:trPr>
        <w:tc>
          <w:tcPr>
            <w:tcW w:type="dxa" w:w="181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威胁</w:t>
            </w:r>
          </w:p>
        </w:tc>
        <w:tc>
          <w:tcPr>
            <w:tcW w:type="dxa" w:w="3969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场景</w:t>
            </w:r>
          </w:p>
        </w:tc>
        <w:tc>
          <w:tcPr>
            <w:tcW w:type="dxa" w:w="3628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控制</w:t>
            </w:r>
          </w:p>
        </w:tc>
      </w:tr>
      <w:tr>
        <w:trPr>
          <w:cantSplit/>
          <w:keepNext/>
        </w:trPr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Spoofing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伪造 Dealer/用户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MFA、邮箱/电话验证、RBAC</w:t>
            </w:r>
          </w:p>
        </w:tc>
      </w:tr>
      <w:tr>
        <w:trPr>
          <w:cantSplit/>
          <w:keepNext/>
        </w:trPr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Tampering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篡改报价/持仓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服务端校验、审计日志、签名 webhook</w:t>
            </w:r>
          </w:p>
        </w:tc>
      </w:tr>
      <w:tr>
        <w:trPr>
          <w:cantSplit/>
          <w:keepNext/>
        </w:trPr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Repudiation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否认报价/成交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不可变 audit_logs、时间戳</w:t>
            </w:r>
          </w:p>
        </w:tc>
      </w:tr>
      <w:tr>
        <w:trPr>
          <w:cantSplit/>
          <w:keepNext/>
        </w:trPr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Information disclosure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手机号/持仓泄露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字段级权限、脱敏、加密、RLS</w:t>
            </w:r>
          </w:p>
        </w:tc>
      </w:tr>
      <w:tr>
        <w:trPr>
          <w:cantSplit/>
          <w:keepNext/>
        </w:trPr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Denial of service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刷计算/询价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限流、WAF、验证码、成本上限</w:t>
            </w:r>
          </w:p>
        </w:tc>
      </w:tr>
      <w:tr>
        <w:trPr>
          <w:cantSplit/>
        </w:trPr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Elevation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普通用户进 Admin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RBAC + 最小权限 + 审计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12.2  </w:t>
      </w:r>
      <w:r>
        <w:rPr>
          <w:rFonts w:ascii="微软雅黑" w:hAnsi="微软雅黑" w:eastAsia="微软雅黑"/>
          <w:b/>
          <w:color w:val="1B1D18"/>
          <w:sz w:val="24"/>
        </w:rPr>
        <w:t>安全基线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所有输入服务端 Zod 校验；SQL 只用参数化/Drizzle；禁止拼接。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CSP、HSTS、X-Content-Type-Options、Referrer-Policy、Permissions-Policy。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会话：HttpOnly/Secure/SameSite=Lax；敏感操作二次确认。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文件上传：类型/大小限制、病毒扫描、私有 bucket、签名 URL。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密钥：Vercel/Fly secrets，不进仓库；每 90 天轮换。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依赖：Dependabot + CodeQL + secret scanning；high/critical 阻断发布。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审计：Admin/Dealer 的写操作全量记录 before/after。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12.3  </w:t>
      </w:r>
      <w:r>
        <w:rPr>
          <w:rFonts w:ascii="微软雅黑" w:hAnsi="微软雅黑" w:eastAsia="微软雅黑"/>
          <w:b/>
          <w:color w:val="1B1D18"/>
          <w:sz w:val="24"/>
        </w:rPr>
        <w:t>隐私与合规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12-2 · 市场合规边界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082"/>
        <w:gridCol w:w="3855"/>
      </w:tblGrid>
      <w:tr>
        <w:trPr>
          <w:cantSplit/>
          <w:tblHeader/>
          <w:keepNext/>
        </w:trPr>
        <w:tc>
          <w:tcPr>
            <w:tcW w:type="dxa" w:w="147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市场</w:t>
            </w:r>
          </w:p>
        </w:tc>
        <w:tc>
          <w:tcPr>
            <w:tcW w:type="dxa" w:w="4082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法规/要点</w:t>
            </w:r>
          </w:p>
        </w:tc>
        <w:tc>
          <w:tcPr>
            <w:tcW w:type="dxa" w:w="3855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产品动作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泰国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PDPA；消费者保护</w:t>
            </w:r>
          </w:p>
        </w:tc>
        <w:tc>
          <w:tcPr>
            <w:tcW w:type="dxa" w:w="385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同意、数据权利、泰语隐私政策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阿联酋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PDPL；VAT</w:t>
            </w:r>
          </w:p>
        </w:tc>
        <w:tc>
          <w:tcPr>
            <w:tcW w:type="dxa" w:w="385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数据最小化、税务展示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印度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DPDP；GST</w:t>
            </w:r>
          </w:p>
        </w:tc>
        <w:tc>
          <w:tcPr>
            <w:tcW w:type="dxa" w:w="385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本地化文案、数据删除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欧盟（未来）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GDPR</w:t>
            </w:r>
          </w:p>
        </w:tc>
        <w:tc>
          <w:tcPr>
            <w:tcW w:type="dxa" w:w="385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DPA、数据导出、合法基础</w:t>
            </w:r>
          </w:p>
        </w:tc>
      </w:tr>
    </w:tbl>
    <w:p>
      <w:pPr>
        <w:spacing w:after="20"/>
      </w:pPr>
    </w:p>
    <w:p>
      <w:pPr>
        <w:spacing w:after="100" w:line="341" w:lineRule="auto"/>
      </w:pPr>
      <w:r>
        <w:rPr>
          <w:rFonts w:ascii="微软雅黑" w:hAnsi="微软雅黑" w:eastAsia="微软雅黑"/>
          <w:color w:val="1B1D18"/>
          <w:sz w:val="20"/>
        </w:rPr>
        <w:t>产品边界必须写进 UI 与合同：GoldLens 不持有资金、不撮合交易、不提供投资建议；Dealer 报价是商业要约，不是平台承诺；回购以门店实际政策为准。所有页面展示“最后更新时间 + 来源 + 免责声明”。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12.4  </w:t>
      </w:r>
      <w:r>
        <w:rPr>
          <w:rFonts w:ascii="微软雅黑" w:hAnsi="微软雅黑" w:eastAsia="微软雅黑"/>
          <w:b/>
          <w:color w:val="1B1D18"/>
          <w:sz w:val="24"/>
        </w:rPr>
        <w:t>SLO 与可观测性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12-3 · SLO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381"/>
        <w:gridCol w:w="2494"/>
        <w:gridCol w:w="2494"/>
      </w:tblGrid>
      <w:tr>
        <w:trPr>
          <w:cantSplit/>
          <w:tblHeader/>
          <w:keepNext/>
        </w:trPr>
        <w:tc>
          <w:tcPr>
            <w:tcW w:type="dxa" w:w="2041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SLI</w:t>
            </w:r>
          </w:p>
        </w:tc>
        <w:tc>
          <w:tcPr>
            <w:tcW w:type="dxa" w:w="2381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目标</w:t>
            </w:r>
          </w:p>
        </w:tc>
        <w:tc>
          <w:tcPr>
            <w:tcW w:type="dxa" w:w="249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告警</w:t>
            </w:r>
          </w:p>
        </w:tc>
        <w:tc>
          <w:tcPr>
            <w:tcW w:type="dxa" w:w="249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Runbook</w:t>
            </w:r>
          </w:p>
        </w:tc>
      </w:tr>
      <w:tr>
        <w:trPr>
          <w:cantSplit/>
          <w:keepNext/>
        </w:trPr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API 可用性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99.9%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5min 错误率 &gt; 2%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降级/回滚</w:t>
            </w:r>
          </w:p>
        </w:tc>
      </w:tr>
      <w:tr>
        <w:trPr>
          <w:cantSplit/>
          <w:keepNext/>
        </w:trPr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API p95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&lt; 300ms（缓存）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&gt; 800ms 持续 10min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查 Redis/DB</w:t>
            </w:r>
          </w:p>
        </w:tc>
      </w:tr>
      <w:tr>
        <w:trPr>
          <w:cantSplit/>
          <w:keepNext/>
        </w:trPr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价格新鲜度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&lt; 60s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&gt; 3min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切快照/告警</w:t>
            </w:r>
          </w:p>
        </w:tc>
      </w:tr>
      <w:tr>
        <w:trPr>
          <w:cantSplit/>
          <w:keepNext/>
        </w:trPr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报价 24h 响应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≥ 70%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&lt; 50%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Dealer 运营</w:t>
            </w:r>
          </w:p>
        </w:tc>
      </w:tr>
      <w:tr>
        <w:trPr>
          <w:cantSplit/>
          <w:keepNext/>
        </w:trPr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支付成功率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≥ 98%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&lt; 95%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Stripe 状态</w:t>
            </w:r>
          </w:p>
        </w:tc>
      </w:tr>
      <w:tr>
        <w:trPr>
          <w:cantSplit/>
        </w:trPr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队列积压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&lt; 100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&gt; 500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扩容/重放</w:t>
            </w:r>
          </w:p>
        </w:tc>
      </w:tr>
    </w:tbl>
    <w:p>
      <w:pPr>
        <w:spacing w:after="20"/>
      </w:pPr>
    </w:p>
    <w:p>
      <w:pPr>
        <w:spacing w:after="100" w:line="341" w:lineRule="auto"/>
      </w:pPr>
      <w:r>
        <w:rPr>
          <w:rFonts w:ascii="微软雅黑" w:hAnsi="微软雅黑" w:eastAsia="微软雅黑"/>
          <w:color w:val="1B1D18"/>
          <w:sz w:val="20"/>
        </w:rPr>
        <w:t>仪表盘分四块：业务（激活/询价/订阅）、数据（freshness/outlier/DLQ）、系统（p95/错误/队列）、安全（限流/异常登录）。每个告警必须链到 runbook，不接受“只看图不行动”。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12.5  </w:t>
      </w:r>
      <w:r>
        <w:rPr>
          <w:rFonts w:ascii="微软雅黑" w:hAnsi="微软雅黑" w:eastAsia="微软雅黑"/>
          <w:b/>
          <w:color w:val="1B1D18"/>
          <w:sz w:val="24"/>
        </w:rPr>
        <w:t>备份、灾备与事件响应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Postgres PITR 7 天；每日全量备份到 R2；每季度恢复演练。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RPO ≤ 15 分钟，RTO ≤ 2 小时（V1）；关键数据跨区备份。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事件分级 P0–P3；P0 15 分钟响应，2 小时给用户公告。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上线前做一次外部渗透测试；修复 critical/high 后才公开。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每季度桌面演练：数据源全挂、支付不可用、Dealer 大规模过期。</w:t>
      </w:r>
    </w:p>
    <w:p>
      <w:pPr>
        <w:keepNext/>
        <w:spacing w:before="360" w:after="20"/>
      </w:pPr>
      <w:r>
        <w:rPr>
          <w:rFonts w:ascii="Georgia" w:hAnsi="Georgia" w:eastAsia="Georgia"/>
          <w:b/>
          <w:color w:val="B8892E"/>
          <w:sz w:val="19"/>
        </w:rPr>
        <w:t>13</w:t>
      </w:r>
    </w:p>
    <w:p>
      <w:pPr>
        <w:keepNext/>
        <w:spacing w:before="0" w:after="40"/>
      </w:pPr>
      <w:r>
        <w:rPr>
          <w:rFonts w:ascii="宋体" w:hAnsi="宋体" w:eastAsia="宋体"/>
          <w:b/>
          <w:color w:val="1B1D18"/>
          <w:sz w:val="46"/>
        </w:rPr>
        <w:t>测试与发布</w:t>
      </w:r>
    </w:p>
    <w:p>
      <w:pPr>
        <w:keepNext/>
        <w:spacing w:after="200"/>
        <w:pBdr>
          <w:bottom w:val="single" w:sz="6" w:space="8" w:color="B8892E"/>
        </w:pBdr>
      </w:pPr>
      <w:r>
        <w:rPr>
          <w:rFonts w:ascii="微软雅黑" w:hAnsi="微软雅黑" w:eastAsia="微软雅黑"/>
          <w:color w:val="6F7468"/>
          <w:sz w:val="19"/>
        </w:rPr>
        <w:t>每个“算得对”都要有测试；每个“发得出”都要能回滚。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13.1  </w:t>
      </w:r>
      <w:r>
        <w:rPr>
          <w:rFonts w:ascii="微软雅黑" w:hAnsi="微软雅黑" w:eastAsia="微软雅黑"/>
          <w:b/>
          <w:color w:val="1B1D18"/>
          <w:sz w:val="24"/>
        </w:rPr>
        <w:t>测试金字塔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13-1 · 测试矩阵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3402"/>
        <w:gridCol w:w="3061"/>
        <w:gridCol w:w="1587"/>
      </w:tblGrid>
      <w:tr>
        <w:trPr>
          <w:cantSplit/>
          <w:tblHeader/>
          <w:keepNext/>
        </w:trPr>
        <w:tc>
          <w:tcPr>
            <w:tcW w:type="dxa" w:w="1361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层</w:t>
            </w:r>
          </w:p>
        </w:tc>
        <w:tc>
          <w:tcPr>
            <w:tcW w:type="dxa" w:w="3402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工具</w:t>
            </w:r>
          </w:p>
        </w:tc>
        <w:tc>
          <w:tcPr>
            <w:tcW w:type="dxa" w:w="3061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覆盖</w:t>
            </w:r>
          </w:p>
        </w:tc>
        <w:tc>
          <w:tcPr>
            <w:tcW w:type="dxa" w:w="1587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门禁</w:t>
            </w:r>
          </w:p>
        </w:tc>
      </w:tr>
      <w:tr>
        <w:trPr>
          <w:cantSplit/>
          <w:keepNext/>
        </w:trPr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单元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Vitest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core 公式/单位/规则/排名</w:t>
            </w:r>
          </w:p>
        </w:tc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100% 关键分支</w:t>
            </w:r>
          </w:p>
        </w:tc>
      </w:tr>
      <w:tr>
        <w:trPr>
          <w:cantSplit/>
          <w:keepNext/>
        </w:trPr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组件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Testing Library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表单、状态、错误</w:t>
            </w:r>
          </w:p>
        </w:tc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PR 必跑</w:t>
            </w:r>
          </w:p>
        </w:tc>
      </w:tr>
      <w:tr>
        <w:trPr>
          <w:cantSplit/>
          <w:keepNext/>
        </w:trPr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契约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Zod/OpenAPI + Prism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请求/响应 schema</w:t>
            </w:r>
          </w:p>
        </w:tc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PR 必跑</w:t>
            </w:r>
          </w:p>
        </w:tc>
      </w:tr>
      <w:tr>
        <w:trPr>
          <w:cantSplit/>
          <w:keepNext/>
        </w:trPr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E2E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Playwright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计算/登录/持仓/提醒/报价</w:t>
            </w:r>
          </w:p>
        </w:tc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PR + nightly</w:t>
            </w:r>
          </w:p>
        </w:tc>
      </w:tr>
      <w:tr>
        <w:trPr>
          <w:cantSplit/>
          <w:keepNext/>
        </w:trPr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视觉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Playwright screenshot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关键页面/暗亮/RTL</w:t>
            </w:r>
          </w:p>
        </w:tc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nightly</w:t>
            </w:r>
          </w:p>
        </w:tc>
      </w:tr>
      <w:tr>
        <w:trPr>
          <w:cantSplit/>
          <w:keepNext/>
        </w:trPr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可访问性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axe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表单/对比度/键盘</w:t>
            </w:r>
          </w:p>
        </w:tc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PR</w:t>
            </w:r>
          </w:p>
        </w:tc>
      </w:tr>
      <w:tr>
        <w:trPr>
          <w:cantSplit/>
          <w:keepNext/>
        </w:trPr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性能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k6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计算/价格/报价读</w:t>
            </w:r>
          </w:p>
        </w:tc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发布前</w:t>
            </w:r>
          </w:p>
        </w:tc>
      </w:tr>
      <w:tr>
        <w:trPr>
          <w:cantSplit/>
        </w:trPr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安全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CodeQL + ZAP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注入/权限/依赖</w:t>
            </w:r>
          </w:p>
        </w:tc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发布前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13.2  </w:t>
      </w:r>
      <w:r>
        <w:rPr>
          <w:rFonts w:ascii="微软雅黑" w:hAnsi="微软雅黑" w:eastAsia="微软雅黑"/>
          <w:b/>
          <w:color w:val="1B1D18"/>
          <w:sz w:val="24"/>
        </w:rPr>
        <w:t>CI/CD 流水线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411"/>
            <w:shd w:fill="F4F1E8"/>
            <w:tcBorders>
              <w:top w:val="single" w:sz="3" w:space="0" w:color="DED8C8"/>
              <w:left w:val="single" w:sz="3" w:space="0" w:color="DED8C8"/>
              <w:bottom w:val="single" w:sz="3" w:space="0" w:color="DED8C8"/>
              <w:right w:val="single" w:sz="3" w:space="0" w:color="DED8C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300" w:lineRule="auto"/>
            </w:pPr>
            <w:r>
              <w:rPr>
                <w:rFonts w:ascii="Consolas" w:hAnsi="Consolas" w:eastAsia="Consolas"/>
                <w:color w:val="1B1D18"/>
                <w:sz w:val="16"/>
              </w:rPr>
              <w:t>PR:</w:t>
              <w:br/>
              <w:t xml:space="preserve">  lint → typecheck → unit → contract → build</w:t>
              <w:br/>
              <w:t xml:space="preserve">  → preview deploy → e2e (smoke) → axe</w:t>
              <w:br/>
              <w:t xml:space="preserve">  → visual diff (optional) → review</w:t>
              <w:br/>
              <w:br/>
              <w:t>main:</w:t>
              <w:br/>
              <w:t xml:space="preserve">  all PR checks → migrate (staging) → staging e2e</w:t>
              <w:br/>
              <w:t xml:space="preserve">  → canary 10% → SLO gate 30min → 100%</w:t>
              <w:br/>
              <w:t xml:space="preserve">  → post-deploy synthetic + smoke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13.3  </w:t>
      </w:r>
      <w:r>
        <w:rPr>
          <w:rFonts w:ascii="微软雅黑" w:hAnsi="微软雅黑" w:eastAsia="微软雅黑"/>
          <w:b/>
          <w:color w:val="1B1D18"/>
          <w:sz w:val="24"/>
        </w:rPr>
        <w:t>数据库迁移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Drizzle migration 文件进仓库；禁止手改生产 schema。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向后兼容：先加列/表，再双写/回填，最后删旧列。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迁移在 staging 先跑，生产用事务 + 锁超时；大表用在线 DDL。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每次迁移有 rollback 方案；不可逆迁移必须单独评审。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13.4  </w:t>
      </w:r>
      <w:r>
        <w:rPr>
          <w:rFonts w:ascii="微软雅黑" w:hAnsi="微软雅黑" w:eastAsia="微软雅黑"/>
          <w:b/>
          <w:color w:val="1B1D18"/>
          <w:sz w:val="24"/>
        </w:rPr>
        <w:t>发布门禁与完成定义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13-2 · Definition of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824"/>
      </w:tblGrid>
      <w:tr>
        <w:trPr>
          <w:cantSplit/>
          <w:tblHeader/>
          <w:keepNext/>
        </w:trPr>
        <w:tc>
          <w:tcPr>
            <w:tcW w:type="dxa" w:w="147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782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必须满足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功能</w:t>
            </w:r>
          </w:p>
        </w:tc>
        <w:tc>
          <w:tcPr>
            <w:tcW w:type="dxa" w:w="782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用户可完成：计算 → 比较 → 询价 → 持仓 → 提醒 → 订阅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质量</w:t>
            </w:r>
          </w:p>
        </w:tc>
        <w:tc>
          <w:tcPr>
            <w:tcW w:type="dxa" w:w="782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关键路径 E2E 通过；core 单测覆盖；0 critical/high 漏洞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体验</w:t>
            </w:r>
          </w:p>
        </w:tc>
        <w:tc>
          <w:tcPr>
            <w:tcW w:type="dxa" w:w="782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Lighthouse ≥ 90；WCAG AA；390px 无横向溢出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数据</w:t>
            </w:r>
          </w:p>
        </w:tc>
        <w:tc>
          <w:tcPr>
            <w:tcW w:type="dxa" w:w="782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每个数字有来源/时间；过期/分歧可见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运维</w:t>
            </w:r>
          </w:p>
        </w:tc>
        <w:tc>
          <w:tcPr>
            <w:tcW w:type="dxa" w:w="782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SLO 仪表盘、告警、runbook、回滚演练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合规</w:t>
            </w:r>
          </w:p>
        </w:tc>
        <w:tc>
          <w:tcPr>
            <w:tcW w:type="dxa" w:w="782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隐私政策、免责声明、数据导出/删除</w:t>
            </w:r>
          </w:p>
        </w:tc>
      </w:tr>
    </w:tbl>
    <w:p>
      <w:pPr>
        <w:spacing w:after="20"/>
      </w:pPr>
    </w:p>
    <w:p>
      <w:pPr>
        <w:keepNext/>
        <w:spacing w:before="360" w:after="20"/>
      </w:pPr>
      <w:r>
        <w:rPr>
          <w:rFonts w:ascii="Georgia" w:hAnsi="Georgia" w:eastAsia="Georgia"/>
          <w:b/>
          <w:color w:val="B8892E"/>
          <w:sz w:val="19"/>
        </w:rPr>
        <w:t>14</w:t>
      </w:r>
    </w:p>
    <w:p>
      <w:pPr>
        <w:keepNext/>
        <w:spacing w:before="0" w:after="40"/>
      </w:pPr>
      <w:r>
        <w:rPr>
          <w:rFonts w:ascii="宋体" w:hAnsi="宋体" w:eastAsia="宋体"/>
          <w:b/>
          <w:color w:val="1B1D18"/>
          <w:sz w:val="46"/>
        </w:rPr>
        <w:t>迁移与路线图</w:t>
      </w:r>
    </w:p>
    <w:p>
      <w:pPr>
        <w:keepNext/>
        <w:spacing w:after="200"/>
        <w:pBdr>
          <w:bottom w:val="single" w:sz="6" w:space="8" w:color="B8892E"/>
        </w:pBdr>
      </w:pPr>
      <w:r>
        <w:rPr>
          <w:rFonts w:ascii="微软雅黑" w:hAnsi="微软雅黑" w:eastAsia="微软雅黑"/>
          <w:color w:val="6F7468"/>
          <w:sz w:val="19"/>
        </w:rPr>
        <w:t>不搞大爆炸重写；并行、可回滚、按里程碑验收。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3884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-simp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88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微软雅黑" w:hAnsi="微软雅黑" w:eastAsia="微软雅黑"/>
          <w:color w:val="6F7468"/>
          <w:sz w:val="15"/>
        </w:rPr>
        <w:t>图 14-1 · 18 周交付路线：四段并行推进，按里程碑验收。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14.1  </w:t>
      </w:r>
      <w:r>
        <w:rPr>
          <w:rFonts w:ascii="微软雅黑" w:hAnsi="微软雅黑" w:eastAsia="微软雅黑"/>
          <w:b/>
          <w:color w:val="1B1D18"/>
          <w:sz w:val="24"/>
        </w:rPr>
        <w:t>四个阶段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14-1 · 阶段与验收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474"/>
        <w:gridCol w:w="4535"/>
        <w:gridCol w:w="2381"/>
      </w:tblGrid>
      <w:tr>
        <w:trPr>
          <w:cantSplit/>
          <w:tblHeader/>
          <w:keepNext/>
        </w:trPr>
        <w:tc>
          <w:tcPr>
            <w:tcW w:type="dxa" w:w="147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147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周期</w:t>
            </w:r>
          </w:p>
        </w:tc>
        <w:tc>
          <w:tcPr>
            <w:tcW w:type="dxa" w:w="4535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交付</w:t>
            </w:r>
          </w:p>
        </w:tc>
        <w:tc>
          <w:tcPr>
            <w:tcW w:type="dxa" w:w="2381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验收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P0 基础</w:t>
            </w:r>
          </w:p>
        </w:tc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W1–W4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Monorepo、core 包、DB schema、Auth、设计系统、staging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核心公式 100% 通过；登录/同步可用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P1 消费端 V1</w:t>
            </w:r>
          </w:p>
        </w:tc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W3–W8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计算器、市场、持仓、提醒、i18n、PWA、分析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激活 ≥ 45%；D7 ≥ 20%；0 P0 缺陷</w:t>
            </w:r>
          </w:p>
        </w:tc>
      </w:tr>
      <w:tr>
        <w:trPr>
          <w:cantSplit/>
          <w:keepNex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P2 Dealer 网络</w:t>
            </w:r>
          </w:p>
        </w:tc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W7–W13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Dealer Portal、询价、排名、Admin、订阅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10 家 Dealer；24h 响应 ≥ 70%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P3 规模化</w:t>
            </w:r>
          </w:p>
        </w:tc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W11–W18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UAE/India、LINE、移动壳、性能/安全加固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支付转化 ≥ 1.5%；Lighthouse ≥ 90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14.2  </w:t>
      </w:r>
      <w:r>
        <w:rPr>
          <w:rFonts w:ascii="微软雅黑" w:hAnsi="微软雅黑" w:eastAsia="微软雅黑"/>
          <w:b/>
          <w:color w:val="1B1D18"/>
          <w:sz w:val="24"/>
        </w:rPr>
        <w:t>从当前 MVP 迁移</w:t>
      </w:r>
    </w:p>
    <w:p>
      <w:pPr>
        <w:spacing w:after="40" w:line="348" w:lineRule="auto"/>
        <w:ind w:left="425" w:hanging="255"/>
      </w:pPr>
      <w:r>
        <w:rPr>
          <w:rFonts w:ascii="Georgia" w:hAnsi="Georgia" w:eastAsia="Georgia"/>
          <w:b/>
          <w:color w:val="B8892E"/>
          <w:sz w:val="19"/>
        </w:rPr>
        <w:t xml:space="preserve">1.  </w:t>
      </w:r>
      <w:r>
        <w:rPr>
          <w:rFonts w:ascii="微软雅黑" w:hAnsi="微软雅黑" w:eastAsia="微软雅黑"/>
          <w:color w:val="1B1D18"/>
          <w:sz w:val="19"/>
        </w:rPr>
        <w:t>保留 mvp/ 作为可运行的演示与回滚基线；新代码进 apps/web，不直接改旧页面。</w:t>
      </w:r>
    </w:p>
    <w:p>
      <w:pPr>
        <w:spacing w:after="40" w:line="348" w:lineRule="auto"/>
        <w:ind w:left="425" w:hanging="255"/>
      </w:pPr>
      <w:r>
        <w:rPr>
          <w:rFonts w:ascii="Georgia" w:hAnsi="Georgia" w:eastAsia="Georgia"/>
          <w:b/>
          <w:color w:val="B8892E"/>
          <w:sz w:val="19"/>
        </w:rPr>
        <w:t xml:space="preserve">2.  </w:t>
      </w:r>
      <w:r>
        <w:rPr>
          <w:rFonts w:ascii="微软雅黑" w:hAnsi="微软雅黑" w:eastAsia="微软雅黑"/>
          <w:color w:val="1B1D18"/>
          <w:sz w:val="19"/>
        </w:rPr>
        <w:t>先把 app.js 里的计算/单位/规则抽到 packages/core，用现有测试向量锁定结果。</w:t>
      </w:r>
    </w:p>
    <w:p>
      <w:pPr>
        <w:spacing w:after="40" w:line="348" w:lineRule="auto"/>
        <w:ind w:left="425" w:hanging="255"/>
      </w:pPr>
      <w:r>
        <w:rPr>
          <w:rFonts w:ascii="Georgia" w:hAnsi="Georgia" w:eastAsia="Georgia"/>
          <w:b/>
          <w:color w:val="B8892E"/>
          <w:sz w:val="19"/>
        </w:rPr>
        <w:t xml:space="preserve">3.  </w:t>
      </w:r>
      <w:r>
        <w:rPr>
          <w:rFonts w:ascii="微软雅黑" w:hAnsi="微软雅黑" w:eastAsia="微软雅黑"/>
          <w:color w:val="1B1D18"/>
          <w:sz w:val="19"/>
        </w:rPr>
        <w:t>把 server.mjs 的数据 adapter 抽成独立模块，迁到 worker；旧服务只做静态 Demo。</w:t>
      </w:r>
    </w:p>
    <w:p>
      <w:pPr>
        <w:spacing w:after="40" w:line="348" w:lineRule="auto"/>
        <w:ind w:left="425" w:hanging="255"/>
      </w:pPr>
      <w:r>
        <w:rPr>
          <w:rFonts w:ascii="Georgia" w:hAnsi="Georgia" w:eastAsia="Georgia"/>
          <w:b/>
          <w:color w:val="B8892E"/>
          <w:sz w:val="19"/>
        </w:rPr>
        <w:t xml:space="preserve">4.  </w:t>
      </w:r>
      <w:r>
        <w:rPr>
          <w:rFonts w:ascii="微软雅黑" w:hAnsi="微软雅黑" w:eastAsia="微软雅黑"/>
          <w:color w:val="1B1D18"/>
          <w:sz w:val="19"/>
        </w:rPr>
        <w:t>localStorage → 云端：登录后弹“导入本机数据”，先生成预览，再确认合并。</w:t>
      </w:r>
    </w:p>
    <w:p>
      <w:pPr>
        <w:spacing w:after="40" w:line="348" w:lineRule="auto"/>
        <w:ind w:left="425" w:hanging="255"/>
      </w:pPr>
      <w:r>
        <w:rPr>
          <w:rFonts w:ascii="Georgia" w:hAnsi="Georgia" w:eastAsia="Georgia"/>
          <w:b/>
          <w:color w:val="B8892E"/>
          <w:sz w:val="19"/>
        </w:rPr>
        <w:t xml:space="preserve">5.  </w:t>
      </w:r>
      <w:r>
        <w:rPr>
          <w:rFonts w:ascii="微软雅黑" w:hAnsi="微软雅黑" w:eastAsia="微软雅黑"/>
          <w:color w:val="1B1D18"/>
          <w:sz w:val="19"/>
        </w:rPr>
        <w:t>URL 兼容：旧锚点/查询参数 301 到新路由；分享卡链接保持可用。</w:t>
      </w:r>
    </w:p>
    <w:p>
      <w:pPr>
        <w:spacing w:after="40" w:line="348" w:lineRule="auto"/>
        <w:ind w:left="425" w:hanging="255"/>
      </w:pPr>
      <w:r>
        <w:rPr>
          <w:rFonts w:ascii="Georgia" w:hAnsi="Georgia" w:eastAsia="Georgia"/>
          <w:b/>
          <w:color w:val="B8892E"/>
          <w:sz w:val="19"/>
        </w:rPr>
        <w:t xml:space="preserve">6.  </w:t>
      </w:r>
      <w:r>
        <w:rPr>
          <w:rFonts w:ascii="微软雅黑" w:hAnsi="微软雅黑" w:eastAsia="微软雅黑"/>
          <w:color w:val="1B1D18"/>
          <w:sz w:val="19"/>
        </w:rPr>
        <w:t>并行 2 周：同一组测试向量在新旧两端跑，差异 &gt; 0.01 必须解释。</w:t>
      </w:r>
    </w:p>
    <w:p>
      <w:pPr>
        <w:spacing w:after="40" w:line="348" w:lineRule="auto"/>
        <w:ind w:left="425" w:hanging="255"/>
      </w:pPr>
      <w:r>
        <w:rPr>
          <w:rFonts w:ascii="Georgia" w:hAnsi="Georgia" w:eastAsia="Georgia"/>
          <w:b/>
          <w:color w:val="B8892E"/>
          <w:sz w:val="19"/>
        </w:rPr>
        <w:t xml:space="preserve">7.  </w:t>
      </w:r>
      <w:r>
        <w:rPr>
          <w:rFonts w:ascii="微软雅黑" w:hAnsi="微软雅黑" w:eastAsia="微软雅黑"/>
          <w:color w:val="1B1D18"/>
          <w:sz w:val="19"/>
        </w:rPr>
        <w:t>切换：先 10% 流量，再 50%，最后 100%；保留一键回滚到静态 Demo。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14.3  </w:t>
      </w:r>
      <w:r>
        <w:rPr>
          <w:rFonts w:ascii="微软雅黑" w:hAnsi="微软雅黑" w:eastAsia="微软雅黑"/>
          <w:b/>
          <w:color w:val="1B1D18"/>
          <w:sz w:val="24"/>
        </w:rPr>
        <w:t>团队与成本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14-2 · 人员配置（18 周）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1474"/>
        <w:gridCol w:w="5216"/>
      </w:tblGrid>
      <w:tr>
        <w:trPr>
          <w:cantSplit/>
          <w:tblHeader/>
          <w:keepNext/>
        </w:trPr>
        <w:tc>
          <w:tcPr>
            <w:tcW w:type="dxa" w:w="2608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147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投入</w:t>
            </w:r>
          </w:p>
        </w:tc>
        <w:tc>
          <w:tcPr>
            <w:tcW w:type="dxa" w:w="5216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职责</w:t>
            </w:r>
          </w:p>
        </w:tc>
      </w:tr>
      <w:tr>
        <w:trPr>
          <w:cantSplit/>
          <w:keepNext/>
        </w:trPr>
        <w:tc>
          <w:tcPr>
            <w:tcW w:type="dxa" w:w="260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Tech Lead / Full-stack</w:t>
            </w:r>
          </w:p>
        </w:tc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1.0 FTE</w:t>
            </w:r>
          </w:p>
        </w:tc>
        <w:tc>
          <w:tcPr>
            <w:tcW w:type="dxa" w:w="5216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架构、core、BFF、发布</w:t>
            </w:r>
          </w:p>
        </w:tc>
      </w:tr>
      <w:tr>
        <w:trPr>
          <w:cantSplit/>
          <w:keepNext/>
        </w:trPr>
        <w:tc>
          <w:tcPr>
            <w:tcW w:type="dxa" w:w="260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Frontend</w:t>
            </w:r>
          </w:p>
        </w:tc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1.0 FTE</w:t>
            </w:r>
          </w:p>
        </w:tc>
        <w:tc>
          <w:tcPr>
            <w:tcW w:type="dxa" w:w="5216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设计系统、页面、PWA、i18n</w:t>
            </w:r>
          </w:p>
        </w:tc>
      </w:tr>
      <w:tr>
        <w:trPr>
          <w:cantSplit/>
          <w:keepNext/>
        </w:trPr>
        <w:tc>
          <w:tcPr>
            <w:tcW w:type="dxa" w:w="260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Backend / Data</w:t>
            </w:r>
          </w:p>
        </w:tc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1.0 FTE</w:t>
            </w:r>
          </w:p>
        </w:tc>
        <w:tc>
          <w:tcPr>
            <w:tcW w:type="dxa" w:w="5216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DB、worker、Dealer、支付</w:t>
            </w:r>
          </w:p>
        </w:tc>
      </w:tr>
      <w:tr>
        <w:trPr>
          <w:cantSplit/>
          <w:keepNext/>
        </w:trPr>
        <w:tc>
          <w:tcPr>
            <w:tcW w:type="dxa" w:w="260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Product Designer</w:t>
            </w:r>
          </w:p>
        </w:tc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0.5 FTE</w:t>
            </w:r>
          </w:p>
        </w:tc>
        <w:tc>
          <w:tcPr>
            <w:tcW w:type="dxa" w:w="5216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设计系统、关键页面、可用性测试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QA / DevOps</w:t>
            </w:r>
          </w:p>
        </w:tc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0.5 FTE</w:t>
            </w:r>
          </w:p>
        </w:tc>
        <w:tc>
          <w:tcPr>
            <w:tcW w:type="dxa" w:w="5216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自动化、监控、安全、发布</w:t>
            </w:r>
          </w:p>
        </w:tc>
      </w:tr>
    </w:tbl>
    <w:p>
      <w:pPr>
        <w:spacing w:after="20"/>
      </w:pPr>
    </w:p>
    <w:p>
      <w:pPr>
        <w:spacing w:after="100" w:line="341" w:lineRule="auto"/>
      </w:pPr>
      <w:r>
        <w:rPr>
          <w:rFonts w:ascii="微软雅黑" w:hAnsi="微软雅黑" w:eastAsia="微软雅黑"/>
          <w:color w:val="1B1D18"/>
          <w:sz w:val="20"/>
        </w:rPr>
        <w:t>基础设施早期约 300–600 美元/月（Vercel + Neon + Upstash + R2 + Sentry + PostHog + Resend），不含数据授权、短信与人工运营。数据源商业授权、Dealer 地推与客服是另外的预算项。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14.4  </w:t>
      </w:r>
      <w:r>
        <w:rPr>
          <w:rFonts w:ascii="微软雅黑" w:hAnsi="微软雅黑" w:eastAsia="微软雅黑"/>
          <w:b/>
          <w:color w:val="1B1D18"/>
          <w:sz w:val="24"/>
        </w:rPr>
        <w:t>风险与缓解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14-3 · 主要风险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041"/>
        <w:gridCol w:w="5102"/>
      </w:tblGrid>
      <w:tr>
        <w:trPr>
          <w:cantSplit/>
          <w:tblHeader/>
          <w:keepNext/>
        </w:trPr>
        <w:tc>
          <w:tcPr>
            <w:tcW w:type="dxa" w:w="2268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风险</w:t>
            </w:r>
          </w:p>
        </w:tc>
        <w:tc>
          <w:tcPr>
            <w:tcW w:type="dxa" w:w="2041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概率/影响</w:t>
            </w:r>
          </w:p>
        </w:tc>
        <w:tc>
          <w:tcPr>
            <w:tcW w:type="dxa" w:w="5102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缓解</w:t>
            </w:r>
          </w:p>
        </w:tc>
      </w:tr>
      <w:tr>
        <w:trPr>
          <w:cantSplit/>
          <w:keepNext/>
        </w:trPr>
        <w:tc>
          <w:tcPr>
            <w:tcW w:type="dxa" w:w="226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数据源限流/授权</w:t>
            </w:r>
          </w:p>
        </w:tc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高/高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多源、授权、缓存、快照、退出预案</w:t>
            </w:r>
          </w:p>
        </w:tc>
      </w:tr>
      <w:tr>
        <w:trPr>
          <w:cantSplit/>
          <w:keepNext/>
        </w:trPr>
        <w:tc>
          <w:tcPr>
            <w:tcW w:type="dxa" w:w="226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Dealer 冷启动</w:t>
            </w:r>
          </w:p>
        </w:tc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高/高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10 家试点、人工跟进、先给价值再收费</w:t>
            </w:r>
          </w:p>
        </w:tc>
      </w:tr>
      <w:tr>
        <w:trPr>
          <w:cantSplit/>
          <w:keepNext/>
        </w:trPr>
        <w:tc>
          <w:tcPr>
            <w:tcW w:type="dxa" w:w="226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报价不准确</w:t>
            </w:r>
          </w:p>
        </w:tc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中/高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有效期、验证等级、投诉扣分、审计</w:t>
            </w:r>
          </w:p>
        </w:tc>
      </w:tr>
      <w:tr>
        <w:trPr>
          <w:cantSplit/>
          <w:keepNext/>
        </w:trPr>
        <w:tc>
          <w:tcPr>
            <w:tcW w:type="dxa" w:w="226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订阅转化低</w:t>
            </w:r>
          </w:p>
        </w:tc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中/中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先验证提醒/持仓价值，再上付费墙</w:t>
            </w:r>
          </w:p>
        </w:tc>
      </w:tr>
      <w:tr>
        <w:trPr>
          <w:cantSplit/>
          <w:keepNext/>
        </w:trPr>
        <w:tc>
          <w:tcPr>
            <w:tcW w:type="dxa" w:w="226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监管认定</w:t>
            </w:r>
          </w:p>
        </w:tc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低/高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不交易/不托管/不预测；本地律师审查</w:t>
            </w:r>
          </w:p>
        </w:tc>
      </w:tr>
      <w:tr>
        <w:trPr>
          <w:cantSplit/>
          <w:keepNext/>
        </w:trPr>
        <w:tc>
          <w:tcPr>
            <w:tcW w:type="dxa" w:w="226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重写拖期</w:t>
            </w:r>
          </w:p>
        </w:tc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中/高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模块化、并行、每 2 周可演示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多语言/RTL 质量</w:t>
            </w:r>
          </w:p>
        </w:tc>
        <w:tc>
          <w:tcPr>
            <w:tcW w:type="dxa" w:w="204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中/中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ar 从 day 1 用 logical properties；母语审校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14.5  </w:t>
      </w:r>
      <w:r>
        <w:rPr>
          <w:rFonts w:ascii="微软雅黑" w:hAnsi="微软雅黑" w:eastAsia="微软雅黑"/>
          <w:b/>
          <w:color w:val="1B1D18"/>
          <w:sz w:val="24"/>
        </w:rPr>
        <w:t>接下来 30 天</w:t>
      </w:r>
    </w:p>
    <w:p>
      <w:pPr>
        <w:spacing w:after="40" w:line="348" w:lineRule="auto"/>
        <w:ind w:left="425" w:hanging="255"/>
      </w:pPr>
      <w:r>
        <w:rPr>
          <w:rFonts w:ascii="Georgia" w:hAnsi="Georgia" w:eastAsia="Georgia"/>
          <w:b/>
          <w:color w:val="B8892E"/>
          <w:sz w:val="19"/>
        </w:rPr>
        <w:t xml:space="preserve">1.  </w:t>
      </w:r>
      <w:r>
        <w:rPr>
          <w:rFonts w:ascii="微软雅黑" w:hAnsi="微软雅黑" w:eastAsia="微软雅黑"/>
          <w:color w:val="1B1D18"/>
          <w:sz w:val="19"/>
        </w:rPr>
        <w:t>Week 1：确认 V1 边界与选型；搭 monorepo；抽 packages/core；锁定测试向量。</w:t>
      </w:r>
    </w:p>
    <w:p>
      <w:pPr>
        <w:spacing w:after="40" w:line="348" w:lineRule="auto"/>
        <w:ind w:left="425" w:hanging="255"/>
      </w:pPr>
      <w:r>
        <w:rPr>
          <w:rFonts w:ascii="Georgia" w:hAnsi="Georgia" w:eastAsia="Georgia"/>
          <w:b/>
          <w:color w:val="B8892E"/>
          <w:sz w:val="19"/>
        </w:rPr>
        <w:t xml:space="preserve">2.  </w:t>
      </w:r>
      <w:r>
        <w:rPr>
          <w:rFonts w:ascii="微软雅黑" w:hAnsi="微软雅黑" w:eastAsia="微软雅黑"/>
          <w:color w:val="1B1D18"/>
          <w:sz w:val="19"/>
        </w:rPr>
        <w:t>Week 2：Postgres schema + Auth + staging；设计系统第一版；迁移价格 adapter。</w:t>
      </w:r>
    </w:p>
    <w:p>
      <w:pPr>
        <w:spacing w:after="40" w:line="348" w:lineRule="auto"/>
        <w:ind w:left="425" w:hanging="255"/>
      </w:pPr>
      <w:r>
        <w:rPr>
          <w:rFonts w:ascii="Georgia" w:hAnsi="Georgia" w:eastAsia="Georgia"/>
          <w:b/>
          <w:color w:val="B8892E"/>
          <w:sz w:val="19"/>
        </w:rPr>
        <w:t xml:space="preserve">3.  </w:t>
      </w:r>
      <w:r>
        <w:rPr>
          <w:rFonts w:ascii="微软雅黑" w:hAnsi="微软雅黑" w:eastAsia="微软雅黑"/>
          <w:color w:val="1B1D18"/>
          <w:sz w:val="19"/>
        </w:rPr>
        <w:t>Week 3：新计算器上线 preview；账户/同步；埋点与漏斗；5 个用户可用性测试。</w:t>
      </w:r>
    </w:p>
    <w:p>
      <w:pPr>
        <w:spacing w:after="40" w:line="348" w:lineRule="auto"/>
        <w:ind w:left="425" w:hanging="255"/>
      </w:pPr>
      <w:r>
        <w:rPr>
          <w:rFonts w:ascii="Georgia" w:hAnsi="Georgia" w:eastAsia="Georgia"/>
          <w:b/>
          <w:color w:val="B8892E"/>
          <w:sz w:val="19"/>
        </w:rPr>
        <w:t xml:space="preserve">4.  </w:t>
      </w:r>
      <w:r>
        <w:rPr>
          <w:rFonts w:ascii="微软雅黑" w:hAnsi="微软雅黑" w:eastAsia="微软雅黑"/>
          <w:color w:val="1B1D18"/>
          <w:sz w:val="19"/>
        </w:rPr>
        <w:t>Week 4：提醒 + 持仓；Dealer Portal 原型；SLO/告警；Go/No-Go 评审。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411"/>
            <w:shd w:fill="F3EBD8"/>
            <w:tcBorders>
              <w:top w:val="single" w:sz="6" w:space="0" w:color="D9C48F"/>
              <w:left w:val="single" w:sz="6" w:space="0" w:color="D9C48F"/>
              <w:bottom w:val="single" w:sz="6" w:space="0" w:color="D9C48F"/>
              <w:right w:val="single" w:sz="6" w:space="0" w:color="D9C48F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B8892E"/>
                <w:sz w:val="15"/>
              </w:rPr>
              <w:t>决策请求</w:t>
            </w:r>
          </w:p>
          <w:p>
            <w:pPr>
              <w:spacing w:after="0" w:line="336" w:lineRule="auto"/>
            </w:pPr>
            <w:r>
              <w:rPr>
                <w:rFonts w:ascii="微软雅黑" w:hAnsi="微软雅黑" w:eastAsia="微软雅黑"/>
                <w:color w:val="1B1D18"/>
                <w:sz w:val="19"/>
              </w:rPr>
              <w:t>批准三件事：① 采用本方案的模块化单体与 Next.js/Postgres 选型；② 以 18 周、3.5 FTE 作为 V1 基线；③ 先做泰国 + 10 家 Dealer 试点，不在此阶段碰交易/托管。</w:t>
            </w:r>
          </w:p>
        </w:tc>
      </w:tr>
    </w:tbl>
    <w:p>
      <w:pPr>
        <w:spacing w:after="20"/>
      </w:pPr>
    </w:p>
    <w:p>
      <w:pPr>
        <w:keepNext/>
        <w:spacing w:before="360" w:after="20"/>
      </w:pPr>
      <w:r>
        <w:rPr>
          <w:rFonts w:ascii="Georgia" w:hAnsi="Georgia" w:eastAsia="Georgia"/>
          <w:b/>
          <w:color w:val="B8892E"/>
          <w:sz w:val="19"/>
        </w:rPr>
        <w:t>A</w:t>
      </w:r>
    </w:p>
    <w:p>
      <w:pPr>
        <w:keepNext/>
        <w:spacing w:before="0" w:after="40"/>
      </w:pPr>
      <w:r>
        <w:rPr>
          <w:rFonts w:ascii="宋体" w:hAnsi="宋体" w:eastAsia="宋体"/>
          <w:b/>
          <w:color w:val="1B1D18"/>
          <w:sz w:val="46"/>
        </w:rPr>
        <w:t>附录</w:t>
      </w:r>
    </w:p>
    <w:p>
      <w:pPr>
        <w:keepNext/>
        <w:spacing w:after="200"/>
        <w:pBdr>
          <w:bottom w:val="single" w:sz="6" w:space="8" w:color="B8892E"/>
        </w:pBdr>
      </w:pPr>
      <w:r>
        <w:rPr>
          <w:rFonts w:ascii="微软雅黑" w:hAnsi="微软雅黑" w:eastAsia="微软雅黑"/>
          <w:color w:val="6F7468"/>
          <w:sz w:val="19"/>
        </w:rPr>
        <w:t>环境变量、部署清单与术语。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A.1  </w:t>
      </w:r>
      <w:r>
        <w:rPr>
          <w:rFonts w:ascii="微软雅黑" w:hAnsi="微软雅黑" w:eastAsia="微软雅黑"/>
          <w:b/>
          <w:color w:val="1B1D18"/>
          <w:sz w:val="24"/>
        </w:rPr>
        <w:t>环境变量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A-1 · 环境变量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3969"/>
        <w:gridCol w:w="2608"/>
      </w:tblGrid>
      <w:tr>
        <w:trPr>
          <w:cantSplit/>
          <w:tblHeader/>
        </w:trPr>
        <w:tc>
          <w:tcPr>
            <w:tcW w:type="dxa" w:w="2835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变量</w:t>
            </w:r>
          </w:p>
        </w:tc>
        <w:tc>
          <w:tcPr>
            <w:tcW w:type="dxa" w:w="3969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2608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环境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DATABASE_URL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Postgres 连接</w:t>
            </w:r>
          </w:p>
        </w:tc>
        <w:tc>
          <w:tcPr>
            <w:tcW w:type="dxa" w:w="260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all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REDIS_URL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Redis/Upstash</w:t>
            </w:r>
          </w:p>
        </w:tc>
        <w:tc>
          <w:tcPr>
            <w:tcW w:type="dxa" w:w="260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all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AUTH_SECRET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Auth.js 加密</w:t>
            </w:r>
          </w:p>
        </w:tc>
        <w:tc>
          <w:tcPr>
            <w:tcW w:type="dxa" w:w="260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all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AUTH_GOOGLE_ID/SECRET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Google 登录</w:t>
            </w:r>
          </w:p>
        </w:tc>
        <w:tc>
          <w:tcPr>
            <w:tcW w:type="dxa" w:w="260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staging/prod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STRIPE_SECRET_KEY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订阅</w:t>
            </w:r>
          </w:p>
        </w:tc>
        <w:tc>
          <w:tcPr>
            <w:tcW w:type="dxa" w:w="260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staging/prod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STRIPE_WEBHOOK_SECRET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webhook 校验</w:t>
            </w:r>
          </w:p>
        </w:tc>
        <w:tc>
          <w:tcPr>
            <w:tcW w:type="dxa" w:w="260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staging/prod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RESEND_API_KEY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邮件</w:t>
            </w:r>
          </w:p>
        </w:tc>
        <w:tc>
          <w:tcPr>
            <w:tcW w:type="dxa" w:w="260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staging/prod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VAPID_PUBLIC/PRIVATE_KEY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Web Push</w:t>
            </w:r>
          </w:p>
        </w:tc>
        <w:tc>
          <w:tcPr>
            <w:tcW w:type="dxa" w:w="260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staging/prod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R2_ACCOUNT_ID/KEY/SECRET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对象存储</w:t>
            </w:r>
          </w:p>
        </w:tc>
        <w:tc>
          <w:tcPr>
            <w:tcW w:type="dxa" w:w="260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staging/prod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SENTRY_DSN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错误</w:t>
            </w:r>
          </w:p>
        </w:tc>
        <w:tc>
          <w:tcPr>
            <w:tcW w:type="dxa" w:w="260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all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POSTHOG_KEY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分析</w:t>
            </w:r>
          </w:p>
        </w:tc>
        <w:tc>
          <w:tcPr>
            <w:tcW w:type="dxa" w:w="260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staging/prod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GOLD_API_KEY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行情</w:t>
            </w:r>
          </w:p>
        </w:tc>
        <w:tc>
          <w:tcPr>
            <w:tcW w:type="dxa" w:w="260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all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GTA_BASE_URL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泰国本地价</w:t>
            </w:r>
          </w:p>
        </w:tc>
        <w:tc>
          <w:tcPr>
            <w:tcW w:type="dxa" w:w="260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all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NEXT_PUBLIC_APP_URL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绝对 URL</w:t>
            </w:r>
          </w:p>
        </w:tc>
        <w:tc>
          <w:tcPr>
            <w:tcW w:type="dxa" w:w="260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all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A.2  </w:t>
      </w:r>
      <w:r>
        <w:rPr>
          <w:rFonts w:ascii="微软雅黑" w:hAnsi="微软雅黑" w:eastAsia="微软雅黑"/>
          <w:b/>
          <w:color w:val="1B1D18"/>
          <w:sz w:val="24"/>
        </w:rPr>
        <w:t>上线检查清单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价格源全部有超时、重试、快照与告警；GTA 授权已确认。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核心公式单测 + E2E 通过；新旧结果差异有解释。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Auth/RBAC/租户隔离通过越权测试；Admin 操作有审计。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Stripe webhook 幂等；退款/失败/宽限期路径演练。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隐私政策、免责声明、数据导出/删除可用。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SLO 仪表盘、告警、runbook、回滚演练完成。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Lighthouse ≥ 90；axe 0 critical；390px 无溢出。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color w:val="1B1D18"/>
          <w:sz w:val="19"/>
        </w:rPr>
        <w:t>10 家 Dealer 完成验证；报价 SLA 与投诉通道就绪。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A.3  </w:t>
      </w:r>
      <w:r>
        <w:rPr>
          <w:rFonts w:ascii="微软雅黑" w:hAnsi="微软雅黑" w:eastAsia="微软雅黑"/>
          <w:b/>
          <w:color w:val="1B1D18"/>
          <w:sz w:val="24"/>
        </w:rPr>
        <w:t>术语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A-2 · 术语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597"/>
      </w:tblGrid>
      <w:tr>
        <w:trPr>
          <w:cantSplit/>
          <w:tblHeader/>
          <w:keepNext/>
        </w:trPr>
        <w:tc>
          <w:tcPr>
            <w:tcW w:type="dxa" w:w="1701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术语</w:t>
            </w:r>
          </w:p>
        </w:tc>
        <w:tc>
          <w:tcPr>
            <w:tcW w:type="dxa" w:w="7597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含义</w:t>
            </w:r>
          </w:p>
        </w:tc>
      </w:tr>
      <w:tr>
        <w:trPr>
          <w:cantSplit/>
          <w:keepNext/>
        </w:trPr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GTA</w:t>
            </w:r>
          </w:p>
        </w:tc>
        <w:tc>
          <w:tcPr>
            <w:tcW w:type="dxa" w:w="759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泰国黄金交易协会，发布 96.5% 金条/金饰参考价</w:t>
            </w:r>
          </w:p>
        </w:tc>
      </w:tr>
      <w:tr>
        <w:trPr>
          <w:cantSplit/>
          <w:keepNext/>
        </w:trPr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baht（重量）</w:t>
            </w:r>
          </w:p>
        </w:tc>
        <w:tc>
          <w:tcPr>
            <w:tcW w:type="dxa" w:w="759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泰国黄金重量单位，1 baht = 15.244g</w:t>
            </w:r>
          </w:p>
        </w:tc>
      </w:tr>
      <w:tr>
        <w:trPr>
          <w:cantSplit/>
          <w:keepNext/>
        </w:trPr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tola</w:t>
            </w:r>
          </w:p>
        </w:tc>
        <w:tc>
          <w:tcPr>
            <w:tcW w:type="dxa" w:w="759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南亚重量单位，1 tola = 11.6638125g</w:t>
            </w:r>
          </w:p>
        </w:tc>
      </w:tr>
      <w:tr>
        <w:trPr>
          <w:cantSplit/>
          <w:keepNext/>
        </w:trPr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all-in</w:t>
            </w:r>
          </w:p>
        </w:tc>
        <w:tc>
          <w:tcPr>
            <w:tcW w:type="dxa" w:w="759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到手价：金料 + 工费 + 税费</w:t>
            </w:r>
          </w:p>
        </w:tc>
      </w:tr>
      <w:tr>
        <w:trPr>
          <w:cantSplit/>
          <w:keepNext/>
        </w:trPr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buyback</w:t>
            </w:r>
          </w:p>
        </w:tc>
        <w:tc>
          <w:tcPr>
            <w:tcW w:type="dxa" w:w="759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门店回购价</w:t>
            </w:r>
          </w:p>
        </w:tc>
      </w:tr>
      <w:tr>
        <w:trPr>
          <w:cantSplit/>
          <w:keepNext/>
        </w:trPr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break-even</w:t>
            </w:r>
          </w:p>
        </w:tc>
        <w:tc>
          <w:tcPr>
            <w:tcW w:type="dxa" w:w="759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金价需上涨多少才覆盖一买一卖成本</w:t>
            </w:r>
          </w:p>
        </w:tc>
      </w:tr>
      <w:tr>
        <w:trPr>
          <w:cantSplit/>
          <w:keepNext/>
        </w:trPr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BFF</w:t>
            </w:r>
          </w:p>
        </w:tc>
        <w:tc>
          <w:tcPr>
            <w:tcW w:type="dxa" w:w="759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Backend for Frontend，面向前端的聚合层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SSE</w:t>
            </w:r>
          </w:p>
        </w:tc>
        <w:tc>
          <w:tcPr>
            <w:tcW w:type="dxa" w:w="759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Server-Sent Events，单向实时推送</w:t>
            </w:r>
          </w:p>
        </w:tc>
      </w:tr>
    </w:tbl>
    <w:p>
      <w:pPr>
        <w:spacing w:after="20"/>
      </w:pPr>
    </w:p>
    <w:p>
      <w:pPr>
        <w:spacing w:after="100" w:line="341" w:lineRule="auto"/>
      </w:pPr>
      <w:r>
        <w:rPr>
          <w:rFonts w:ascii="微软雅黑" w:hAnsi="微软雅黑" w:eastAsia="微软雅黑"/>
          <w:color w:val="1B1D18"/>
          <w:sz w:val="20"/>
        </w:rPr>
        <w:t>本方案为 Proposed 版本，下一步是评审并冻结 V1 范围。评审通过后，按第 14 章的 P0 开始实施；任何架构变更走 ADR，不直接用代码“投票”。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1219" w:right="1191" w:bottom="1077" w:left="1191" w:header="454" w:footer="454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微软雅黑" w:hAnsi="微软雅黑" w:eastAsia="微软雅黑"/>
        <w:color w:val="6F7468"/>
        <w:sz w:val="14"/>
      </w:rPr>
      <w:t xml:space="preserve">Proposed · for discussion   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微软雅黑" w:hAnsi="微软雅黑" w:eastAsia="微软雅黑"/>
        <w:b/>
        <w:color w:val="B8892E"/>
        <w:sz w:val="14"/>
      </w:rPr>
      <w:t>GOLDLENS 2.0  /  TECHNICAL PLAN  /  2026.10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微软雅黑" w:hAnsi="微软雅黑" w:eastAsia="微软雅黑"/>
      <w:color w:val="1B1D1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GoldLens 2.0 技术方案</dc:title>
  <dc:subject>从 MVP 到生产级黄金决策平台的技术方案</dc:subject>
  <dc:creator>GoldLens Research</dc:creator>
  <cp:keywords>GoldLens, architecture, Next.js, Postgres, technical plan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