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after="280"/>
      </w:pPr>
      <w:r>
        <w:rPr>
          <w:rFonts w:ascii="微软雅黑" w:hAnsi="微软雅黑" w:eastAsia="微软雅黑"/>
          <w:b/>
          <w:color w:val="B8892E"/>
          <w:sz w:val="17"/>
        </w:rPr>
        <w:t>DOCUMENT MAP</w:t>
      </w:r>
    </w:p>
    <w:p>
      <w:pPr>
        <w:spacing w:after="320"/>
      </w:pPr>
      <w:r>
        <w:rPr>
          <w:rFonts w:ascii="宋体" w:hAnsi="宋体" w:eastAsia="宋体"/>
          <w:b/>
          <w:color w:val="1B1D18"/>
          <w:sz w:val="54"/>
        </w:rPr>
        <w:t>架构优化 · 目录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00</w:t>
      </w:r>
      <w:r>
        <w:rPr>
          <w:rFonts w:ascii="微软雅黑" w:hAnsi="微软雅黑" w:eastAsia="微软雅黑"/>
          <w:color w:val="1B1D18"/>
          <w:sz w:val="20"/>
        </w:rPr>
        <w:tab/>
        <w:t>执行摘要</w:t>
      </w:r>
      <w:r>
        <w:rPr>
          <w:rFonts w:ascii="Georgia" w:hAnsi="Georgia" w:eastAsia="Georgia"/>
          <w:color w:val="6F7468"/>
          <w:sz w:val="18"/>
        </w:rPr>
        <w:tab/>
        <w:t>2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01</w:t>
      </w:r>
      <w:r>
        <w:rPr>
          <w:rFonts w:ascii="微软雅黑" w:hAnsi="微软雅黑" w:eastAsia="微软雅黑"/>
          <w:color w:val="1B1D18"/>
          <w:sz w:val="20"/>
        </w:rPr>
        <w:tab/>
        <w:t>v1.0 复盘</w:t>
      </w:r>
      <w:r>
        <w:rPr>
          <w:rFonts w:ascii="Georgia" w:hAnsi="Georgia" w:eastAsia="Georgia"/>
          <w:color w:val="6F7468"/>
          <w:sz w:val="18"/>
        </w:rPr>
        <w:tab/>
        <w:t>3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02</w:t>
      </w:r>
      <w:r>
        <w:rPr>
          <w:rFonts w:ascii="微软雅黑" w:hAnsi="微软雅黑" w:eastAsia="微软雅黑"/>
          <w:color w:val="1B1D18"/>
          <w:sz w:val="20"/>
        </w:rPr>
        <w:tab/>
        <w:t>体验优先的架构原则</w:t>
      </w:r>
      <w:r>
        <w:rPr>
          <w:rFonts w:ascii="Georgia" w:hAnsi="Georgia" w:eastAsia="Georgia"/>
          <w:color w:val="6F7468"/>
          <w:sz w:val="18"/>
        </w:rPr>
        <w:tab/>
        <w:t>4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03</w:t>
      </w:r>
      <w:r>
        <w:rPr>
          <w:rFonts w:ascii="微软雅黑" w:hAnsi="微软雅黑" w:eastAsia="微软雅黑"/>
          <w:color w:val="1B1D18"/>
          <w:sz w:val="20"/>
        </w:rPr>
        <w:tab/>
        <w:t>v1.1 目标架构</w:t>
      </w:r>
      <w:r>
        <w:rPr>
          <w:rFonts w:ascii="Georgia" w:hAnsi="Georgia" w:eastAsia="Georgia"/>
          <w:color w:val="6F7468"/>
          <w:sz w:val="18"/>
        </w:rPr>
        <w:tab/>
        <w:t>5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04</w:t>
      </w:r>
      <w:r>
        <w:rPr>
          <w:rFonts w:ascii="微软雅黑" w:hAnsi="微软雅黑" w:eastAsia="微软雅黑"/>
          <w:color w:val="1B1D18"/>
          <w:sz w:val="20"/>
        </w:rPr>
        <w:tab/>
        <w:t>技术雷达</w:t>
      </w:r>
      <w:r>
        <w:rPr>
          <w:rFonts w:ascii="Georgia" w:hAnsi="Georgia" w:eastAsia="Georgia"/>
          <w:color w:val="6F7468"/>
          <w:sz w:val="18"/>
        </w:rPr>
        <w:tab/>
        <w:t>6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05</w:t>
      </w:r>
      <w:r>
        <w:rPr>
          <w:rFonts w:ascii="微软雅黑" w:hAnsi="微软雅黑" w:eastAsia="微软雅黑"/>
          <w:color w:val="1B1D18"/>
          <w:sz w:val="20"/>
        </w:rPr>
        <w:tab/>
        <w:t>体验技术栈</w:t>
      </w:r>
      <w:r>
        <w:rPr>
          <w:rFonts w:ascii="Georgia" w:hAnsi="Georgia" w:eastAsia="Georgia"/>
          <w:color w:val="6F7468"/>
          <w:sz w:val="18"/>
        </w:rPr>
        <w:tab/>
        <w:t>7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06</w:t>
      </w:r>
      <w:r>
        <w:rPr>
          <w:rFonts w:ascii="微软雅黑" w:hAnsi="微软雅黑" w:eastAsia="微软雅黑"/>
          <w:color w:val="1B1D18"/>
          <w:sz w:val="20"/>
        </w:rPr>
        <w:tab/>
        <w:t>Local-first 数据</w:t>
      </w:r>
      <w:r>
        <w:rPr>
          <w:rFonts w:ascii="Georgia" w:hAnsi="Georgia" w:eastAsia="Georgia"/>
          <w:color w:val="6F7468"/>
          <w:sz w:val="18"/>
        </w:rPr>
        <w:tab/>
        <w:t>8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07</w:t>
      </w:r>
      <w:r>
        <w:rPr>
          <w:rFonts w:ascii="微软雅黑" w:hAnsi="微软雅黑" w:eastAsia="微软雅黑"/>
          <w:color w:val="1B1D18"/>
          <w:sz w:val="20"/>
        </w:rPr>
        <w:tab/>
        <w:t>AI-native 层</w:t>
      </w:r>
      <w:r>
        <w:rPr>
          <w:rFonts w:ascii="Georgia" w:hAnsi="Georgia" w:eastAsia="Georgia"/>
          <w:color w:val="6F7468"/>
          <w:sz w:val="18"/>
        </w:rPr>
        <w:tab/>
        <w:t>9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08</w:t>
      </w:r>
      <w:r>
        <w:rPr>
          <w:rFonts w:ascii="微软雅黑" w:hAnsi="微软雅黑" w:eastAsia="微软雅黑"/>
          <w:color w:val="1B1D18"/>
          <w:sz w:val="20"/>
        </w:rPr>
        <w:tab/>
        <w:t>Durable workflows 与实时</w:t>
      </w:r>
      <w:r>
        <w:rPr>
          <w:rFonts w:ascii="Georgia" w:hAnsi="Georgia" w:eastAsia="Georgia"/>
          <w:color w:val="6F7468"/>
          <w:sz w:val="18"/>
        </w:rPr>
        <w:tab/>
        <w:t>11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09</w:t>
      </w:r>
      <w:r>
        <w:rPr>
          <w:rFonts w:ascii="微软雅黑" w:hAnsi="微软雅黑" w:eastAsia="微软雅黑"/>
          <w:color w:val="1B1D18"/>
          <w:sz w:val="20"/>
        </w:rPr>
        <w:tab/>
        <w:t>性能与可访问性预算</w:t>
      </w:r>
      <w:r>
        <w:rPr>
          <w:rFonts w:ascii="Georgia" w:hAnsi="Georgia" w:eastAsia="Georgia"/>
          <w:color w:val="6F7468"/>
          <w:sz w:val="18"/>
        </w:rPr>
        <w:tab/>
        <w:t>12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10</w:t>
      </w:r>
      <w:r>
        <w:rPr>
          <w:rFonts w:ascii="微软雅黑" w:hAnsi="微软雅黑" w:eastAsia="微软雅黑"/>
          <w:color w:val="1B1D18"/>
          <w:sz w:val="20"/>
        </w:rPr>
        <w:tab/>
        <w:t>安全、隐私与 AI 治理</w:t>
      </w:r>
      <w:r>
        <w:rPr>
          <w:rFonts w:ascii="Georgia" w:hAnsi="Georgia" w:eastAsia="Georgia"/>
          <w:color w:val="6F7468"/>
          <w:sz w:val="18"/>
        </w:rPr>
        <w:tab/>
        <w:t>13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11</w:t>
      </w:r>
      <w:r>
        <w:rPr>
          <w:rFonts w:ascii="微软雅黑" w:hAnsi="微软雅黑" w:eastAsia="微软雅黑"/>
          <w:color w:val="1B1D18"/>
          <w:sz w:val="20"/>
        </w:rPr>
        <w:tab/>
        <w:t>迁移影响与路线</w:t>
      </w:r>
      <w:r>
        <w:rPr>
          <w:rFonts w:ascii="Georgia" w:hAnsi="Georgia" w:eastAsia="Georgia"/>
          <w:color w:val="6F7468"/>
          <w:sz w:val="18"/>
        </w:rPr>
        <w:tab/>
        <w:t>13</w:t>
      </w:r>
    </w:p>
    <w:p>
      <w:pPr>
        <w:tabs>
          <w:tab w:pos="850" w:val="left"/>
          <w:tab w:pos="9524" w:val="right"/>
        </w:tabs>
        <w:spacing w:after="100"/>
      </w:pPr>
      <w:r>
        <w:rPr>
          <w:rFonts w:ascii="Georgia" w:hAnsi="Georgia" w:eastAsia="Georgia"/>
          <w:b/>
          <w:color w:val="B8892E"/>
          <w:sz w:val="17"/>
        </w:rPr>
        <w:t>12</w:t>
      </w:r>
      <w:r>
        <w:rPr>
          <w:rFonts w:ascii="微软雅黑" w:hAnsi="微软雅黑" w:eastAsia="微软雅黑"/>
          <w:color w:val="1B1D18"/>
          <w:sz w:val="20"/>
        </w:rPr>
        <w:tab/>
        <w:t>决策与下一步</w:t>
      </w:r>
      <w:r>
        <w:rPr>
          <w:rFonts w:ascii="Georgia" w:hAnsi="Georgia" w:eastAsia="Georgia"/>
          <w:color w:val="6F7468"/>
          <w:sz w:val="18"/>
        </w:rPr>
        <w:tab/>
        <w:t>15</w:t>
      </w:r>
    </w:p>
    <w:p>
      <w:pPr>
        <w:spacing w:before="440" w:after="40"/>
      </w:pPr>
      <w:r>
        <w:rPr>
          <w:rFonts w:ascii="微软雅黑" w:hAnsi="微软雅黑" w:eastAsia="微软雅黑"/>
          <w:b/>
          <w:color w:val="B8892E"/>
          <w:sz w:val="16"/>
        </w:rPr>
        <w:t>阅读说明</w:t>
      </w:r>
    </w:p>
    <w:p>
      <w:pPr>
        <w:spacing w:after="40" w:line="360" w:lineRule="auto"/>
      </w:pPr>
      <w:r>
        <w:rPr>
          <w:rFonts w:ascii="微软雅黑" w:hAnsi="微软雅黑" w:eastAsia="微软雅黑"/>
          <w:color w:val="6F7468"/>
          <w:sz w:val="17"/>
        </w:rPr>
        <w:t>本方案面向创始人、工程与设计团队，描述从当前 MVP 到生产级 GoldLens 的目标架构、数据模型、体验规范与交付路线。所有时间与成本为显式假设，不是承诺；上线前需完成数据授权、隐私与本地合规审查。</w:t>
      </w:r>
    </w:p>
    <w:p>
      <w:r>
        <w:br w:type="page"/>
      </w: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00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执行摘要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最先进的技术，不是让架构更复杂，而是让用户感觉不到技术。</w:t>
      </w:r>
    </w:p>
    <w:p>
      <w:pPr>
        <w:spacing w:before="160" w:after="160"/>
        <w:ind w:left="227"/>
      </w:pPr>
      <w:r>
        <w:rPr>
          <w:rFonts w:ascii="宋体" w:hAnsi="宋体" w:eastAsia="宋体"/>
          <w:b/>
          <w:color w:val="B8892E"/>
          <w:sz w:val="36"/>
        </w:rPr>
        <w:t>从“能算”到“好用到离不开”：快、稳、聪明，且随时能退。</w:t>
      </w:r>
    </w:p>
    <w:p>
      <w:pPr>
        <w:spacing w:after="100" w:line="341" w:lineRule="auto"/>
      </w:pPr>
      <w:r>
        <w:rPr>
          <w:rFonts w:ascii="微软雅黑" w:hAnsi="微软雅黑" w:eastAsia="微软雅黑"/>
          <w:b w:val="0"/>
          <w:color w:val="1B1D18"/>
          <w:sz w:val="20"/>
        </w:rPr>
        <w:t>v1.0 的技术方案是正确的：Next.js 模块化单体、Postgres、严格的数据边界、18 周交付。但它仍然偏“稳健的 2024 架构”：前端只做到 RSC，数据只做到 API + 缓存，异步只做到队列 + worker，AI 只是可选项。对于“体验最好的现代程序”，这还不够。</w:t>
      </w:r>
    </w:p>
    <w:p>
      <w:pPr>
        <w:spacing w:after="100" w:line="341" w:lineRule="auto"/>
      </w:pPr>
      <w:r>
        <w:rPr>
          <w:rFonts w:ascii="微软雅黑" w:hAnsi="微软雅黑" w:eastAsia="微软雅黑"/>
          <w:b w:val="0"/>
          <w:color w:val="1B1D18"/>
          <w:sz w:val="20"/>
        </w:rPr>
        <w:t>v1.1 的目标不是把技术名词堆满，而是把三类体验做成默认能力：</w:t>
      </w:r>
      <w:r>
        <w:rPr>
          <w:rFonts w:ascii="微软雅黑" w:hAnsi="微软雅黑" w:eastAsia="微软雅黑"/>
          <w:b/>
          <w:color w:val="1B1D18"/>
          <w:sz w:val="20"/>
        </w:rPr>
        <w:t>瞬时</w:t>
      </w:r>
      <w:r>
        <w:rPr>
          <w:rFonts w:ascii="微软雅黑" w:hAnsi="微软雅黑" w:eastAsia="微软雅黑"/>
          <w:b w:val="0"/>
          <w:color w:val="1B1D18"/>
          <w:sz w:val="20"/>
        </w:rPr>
        <w:t>（计算与页面切换无等待）、</w:t>
      </w:r>
      <w:r>
        <w:rPr>
          <w:rFonts w:ascii="微软雅黑" w:hAnsi="微软雅黑" w:eastAsia="微软雅黑"/>
          <w:b/>
          <w:color w:val="1B1D18"/>
          <w:sz w:val="20"/>
        </w:rPr>
        <w:t>离线</w:t>
      </w:r>
      <w:r>
        <w:rPr>
          <w:rFonts w:ascii="微软雅黑" w:hAnsi="微软雅黑" w:eastAsia="微软雅黑"/>
          <w:b w:val="0"/>
          <w:color w:val="1B1D18"/>
          <w:sz w:val="20"/>
        </w:rPr>
        <w:t>（弱网/地铁/门店里也能用）、</w:t>
      </w:r>
      <w:r>
        <w:rPr>
          <w:rFonts w:ascii="微软雅黑" w:hAnsi="微软雅黑" w:eastAsia="微软雅黑"/>
          <w:b/>
          <w:color w:val="1B1D18"/>
          <w:sz w:val="20"/>
        </w:rPr>
        <w:t>聪明</w:t>
      </w:r>
      <w:r>
        <w:rPr>
          <w:rFonts w:ascii="微软雅黑" w:hAnsi="微软雅黑" w:eastAsia="微软雅黑"/>
          <w:b w:val="0"/>
          <w:color w:val="1B1D18"/>
          <w:sz w:val="20"/>
        </w:rPr>
        <w:t>（自然语言、扫描、自动填表，但不替用户做投资决定）。为此，我们升级五件事：Next.js 16 的 PPR/React Compiler、Base UI + View Transitions、ElectricSQL local-first、Inngest durable workflows、AI Gateway + 结构化工具调用。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0-1 · v1.1 的五个关键升级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3061"/>
        <w:gridCol w:w="2494"/>
      </w:tblGrid>
      <w:tr>
        <w:trPr>
          <w:cantSplit/>
          <w:tblHeader/>
          <w:keepNext/>
        </w:trPr>
        <w:tc>
          <w:tcPr>
            <w:tcW w:type="dxa" w:w="124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层</w:t>
            </w:r>
          </w:p>
        </w:tc>
        <w:tc>
          <w:tcPr>
            <w:tcW w:type="dxa" w:w="260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v1.0</w:t>
            </w:r>
          </w:p>
        </w:tc>
        <w:tc>
          <w:tcPr>
            <w:tcW w:type="dxa" w:w="30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v1.1</w:t>
            </w:r>
          </w:p>
        </w:tc>
        <w:tc>
          <w:tcPr>
            <w:tcW w:type="dxa" w:w="249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用户感知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渲染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RSC + 客户端缓存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PPR + React Compiler + View Transitions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首屏更快、切市场像原生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数据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API + Redis + localStorage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ElectricSQL 读同步 + IndexedDB outbox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离线可看、写入即时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异步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QStash/BullMQ + 独立 worker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Inngest durable workflows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报价/提醒不丢、可回放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智能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无 AI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Gateway + 工具调用 + 结构化输出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一句话算账、拍收据填表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界面</w:t>
            </w:r>
          </w:p>
        </w:tc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shadcn/ui + Radix</w:t>
            </w:r>
          </w:p>
        </w:tc>
        <w:tc>
          <w:tcPr>
            <w:tcW w:type="dxa" w:w="30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Tailwind v4 + Base UI + Motion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更细腻、更可访问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3EBD8"/>
            <w:tcBorders>
              <w:top w:val="single" w:sz="6" w:space="0" w:color="D9C48F"/>
              <w:left w:val="single" w:sz="6" w:space="0" w:color="D9C48F"/>
              <w:bottom w:val="single" w:sz="6" w:space="0" w:color="D9C48F"/>
              <w:right w:val="single" w:sz="6" w:space="0" w:color="D9C48F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B8892E"/>
                <w:sz w:val="15"/>
              </w:rPr>
              <w:t>本轮结论</w:t>
            </w:r>
          </w:p>
          <w:p>
            <w:pPr>
              <w:spacing w:after="0" w:line="336" w:lineRule="auto"/>
            </w:pPr>
            <w:r>
              <w:rPr>
                <w:rFonts w:ascii="微软雅黑" w:hAnsi="微软雅黑" w:eastAsia="微软雅黑"/>
                <w:color w:val="1B1D18"/>
                <w:sz w:val="19"/>
              </w:rPr>
              <w:t>采用“Experience-first 模块化单体”：Next.js 16（PPR/RSC/Server Actions）+ ElectricSQL 读同步 + Inngest 工作流 + AI Gateway。所有“先进”技术都必须通过 2 周 spike 验证，并保留回退到 v1.0 方案的能力。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0.1  </w:t>
      </w:r>
      <w:r>
        <w:rPr>
          <w:rFonts w:ascii="微软雅黑" w:hAnsi="微软雅黑" w:eastAsia="微软雅黑"/>
          <w:b/>
          <w:color w:val="1B1D18"/>
          <w:sz w:val="24"/>
        </w:rPr>
        <w:t>三个不做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不做微前端、不拆微服务、不上 Kubernetes：在 10 万 MAU 之前，这些只会增加故障面。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不做“AI 预测金价/买卖信号”：AI 只做界面与数据录入，不做投资判断。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不做 3D/WebGL 炫技首屏：黄金的“高级感”来自克制、排版与数据可信，不来自帧率。</w:t>
      </w: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01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v1.0 复盘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正确，但还可以更“贴手”。</w:t>
      </w:r>
    </w:p>
    <w:p>
      <w:pPr>
        <w:spacing w:after="100" w:line="341" w:lineRule="auto"/>
      </w:pPr>
      <w:r>
        <w:rPr>
          <w:rFonts w:ascii="微软雅黑" w:hAnsi="微软雅黑" w:eastAsia="微软雅黑"/>
          <w:b w:val="0"/>
          <w:color w:val="1B1D18"/>
          <w:sz w:val="20"/>
        </w:rPr>
        <w:t>v1.0 的架构没有错，它解决的是“从 0 到 1 的可靠性”。v1.1 要解决的是“从 1 到 10 的体验密度”：用户不再容忍等待、刷新、重复输入；他们希望像用原生 App 一样用 Web。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1-1 · v1.0 与 v1.1 的差异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3402"/>
        <w:gridCol w:w="1814"/>
      </w:tblGrid>
      <w:tr>
        <w:trPr>
          <w:cantSplit/>
          <w:tblHeader/>
          <w:keepNext/>
        </w:trPr>
        <w:tc>
          <w:tcPr>
            <w:tcW w:type="dxa" w:w="124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294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v1.0</w:t>
            </w:r>
          </w:p>
        </w:tc>
        <w:tc>
          <w:tcPr>
            <w:tcW w:type="dxa" w:w="340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v1.1</w:t>
            </w:r>
          </w:p>
        </w:tc>
        <w:tc>
          <w:tcPr>
            <w:tcW w:type="dxa" w:w="181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为什么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首屏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RSC + 流式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PPR：静态 shell 先到，动态价格后流式注入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LCP 与感知速度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交互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客户端状态 + 请求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Server Actions + 乐观更新 + View Transitions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减少等待与跳变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数据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API 拉取 + 缓存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ElectricSQL shape 同步 + IndexedDB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离线与即时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异步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队列 + 自建 worker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Inngest step functions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可观测、可重放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无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Gateway + 工具调用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录入与问答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组件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Radix/shadcn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Base UI + Tailwind v4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可访问性与样式性能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移动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PWA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PWA + Expo 原生壳（P3）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推送/分享/触感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交付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18 周 / 3.5 FTE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20 周 / 4 FTE（含 2 周 spike）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先进技术需要验证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1.1  </w:t>
      </w:r>
      <w:r>
        <w:rPr>
          <w:rFonts w:ascii="微软雅黑" w:hAnsi="微软雅黑" w:eastAsia="微软雅黑"/>
          <w:b/>
          <w:color w:val="1B1D18"/>
          <w:sz w:val="24"/>
        </w:rPr>
        <w:t>必须保留的资产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计算引擎与测试向量：这是产品的“真理”，不能被 UI 或 AI 替代。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数据可追溯原则：来源、时间、置信度、规则版本，继续保留。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优雅降级：快照、DEMO、过期标记；先进技术不能消灭降级。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“无托管/无交易/无建议”的边界：越先进，越要克制。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现有 CI、冒烟测试、静态 Demo：作为回退基线。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1.2  </w:t>
      </w:r>
      <w:r>
        <w:rPr>
          <w:rFonts w:ascii="微软雅黑" w:hAnsi="微软雅黑" w:eastAsia="微软雅黑"/>
          <w:b/>
          <w:color w:val="1B1D18"/>
          <w:sz w:val="24"/>
        </w:rPr>
        <w:t>为什么现在升级</w:t>
      </w:r>
    </w:p>
    <w:p>
      <w:pPr>
        <w:spacing w:after="100" w:line="341" w:lineRule="auto"/>
      </w:pPr>
      <w:r>
        <w:rPr>
          <w:rFonts w:ascii="微软雅黑" w:hAnsi="微软雅黑" w:eastAsia="微软雅黑"/>
          <w:b w:val="0"/>
          <w:color w:val="1B1D18"/>
          <w:sz w:val="20"/>
        </w:rPr>
        <w:t>三个条件同时成熟：Next.js 16 的 PPR/Cache Components 让“静态 + 动态”可以在同一页共存；ElectricSQL/IndexedDB 让 Local-first 不再是研究项目；AI SDK 6 + Gateway 让结构化抽取和工具调用可以工程化。再加上 2026 年的用户已经被原生 App 和 AI 产品训练过，等待 2 秒就会流失。</w:t>
      </w: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02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体验优先的架构原则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先进技术必须服务于“少等待、少输入、少出错”。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2.1  </w:t>
      </w:r>
      <w:r>
        <w:rPr>
          <w:rFonts w:ascii="微软雅黑" w:hAnsi="微软雅黑" w:eastAsia="微软雅黑"/>
          <w:b/>
          <w:color w:val="1B1D18"/>
          <w:sz w:val="24"/>
        </w:rPr>
        <w:t>六条原则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/>
          <w:color w:val="1B1D18"/>
          <w:sz w:val="19"/>
        </w:rPr>
        <w:t>瞬时优先</w:t>
      </w:r>
      <w:r>
        <w:rPr>
          <w:rFonts w:ascii="微软雅黑" w:hAnsi="微软雅黑" w:eastAsia="微软雅黑"/>
          <w:b w:val="0"/>
          <w:color w:val="1B1D18"/>
          <w:sz w:val="19"/>
        </w:rPr>
        <w:t>：确定性计算（单位、纯度、到手价）在本地完成，不等网络；网络只负责“最新价格”和“写操作”。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/>
          <w:color w:val="1B1D18"/>
          <w:sz w:val="19"/>
        </w:rPr>
        <w:t>本地优先读、服务端权威写</w:t>
      </w:r>
      <w:r>
        <w:rPr>
          <w:rFonts w:ascii="微软雅黑" w:hAnsi="微软雅黑" w:eastAsia="微软雅黑"/>
          <w:b w:val="0"/>
          <w:color w:val="1B1D18"/>
          <w:sz w:val="19"/>
        </w:rPr>
        <w:t>：价格/报价/公开数据用 shape 同步；持仓/提醒/订阅以服务端版本为准，客户端只做乐观 UI。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/>
          <w:color w:val="1B1D18"/>
          <w:sz w:val="19"/>
        </w:rPr>
        <w:t>AI 是界面，不是神谕</w:t>
      </w:r>
      <w:r>
        <w:rPr>
          <w:rFonts w:ascii="微软雅黑" w:hAnsi="微软雅黑" w:eastAsia="微软雅黑"/>
          <w:b w:val="0"/>
          <w:color w:val="1B1D18"/>
          <w:sz w:val="19"/>
        </w:rPr>
        <w:t>：AI 负责“把话/图片变成结构化输入”，计算仍由 core 工具完成；不输出建议。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/>
          <w:color w:val="1B1D18"/>
          <w:sz w:val="19"/>
        </w:rPr>
        <w:t>先进但可拔插</w:t>
      </w:r>
      <w:r>
        <w:rPr>
          <w:rFonts w:ascii="微软雅黑" w:hAnsi="微软雅黑" w:eastAsia="微软雅黑"/>
          <w:b w:val="0"/>
          <w:color w:val="1B1D18"/>
          <w:sz w:val="19"/>
        </w:rPr>
        <w:t>：Inngest、ElectricSQL、AI Gateway 都包在 adapter 后；任一处不达标，可回退，不重写业务。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/>
          <w:color w:val="1B1D18"/>
          <w:sz w:val="19"/>
        </w:rPr>
        <w:t>性能是功能</w:t>
      </w:r>
      <w:r>
        <w:rPr>
          <w:rFonts w:ascii="微软雅黑" w:hAnsi="微软雅黑" w:eastAsia="微软雅黑"/>
          <w:b w:val="0"/>
          <w:color w:val="1B1D18"/>
          <w:sz w:val="19"/>
        </w:rPr>
        <w:t>：LCP、INP、CLS、JS 预算进入 CI；不通过不上线。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/>
          <w:color w:val="1B1D18"/>
          <w:sz w:val="19"/>
        </w:rPr>
        <w:t>默认可访问</w:t>
      </w:r>
      <w:r>
        <w:rPr>
          <w:rFonts w:ascii="微软雅黑" w:hAnsi="微软雅黑" w:eastAsia="微软雅黑"/>
          <w:b w:val="0"/>
          <w:color w:val="1B1D18"/>
          <w:sz w:val="19"/>
        </w:rPr>
        <w:t>：键盘、读屏、对比度、减少动效、44px 触控区，和暗色主题一起做。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2.2  </w:t>
      </w:r>
      <w:r>
        <w:rPr>
          <w:rFonts w:ascii="微软雅黑" w:hAnsi="微软雅黑" w:eastAsia="微软雅黑"/>
          <w:b/>
          <w:color w:val="1B1D18"/>
          <w:sz w:val="24"/>
        </w:rPr>
        <w:t>体验的四个时刻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2-1 · 关键时刻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948"/>
        <w:gridCol w:w="5102"/>
      </w:tblGrid>
      <w:tr>
        <w:trPr>
          <w:cantSplit/>
          <w:tblHeader/>
          <w:keepNext/>
        </w:trPr>
        <w:tc>
          <w:tcPr>
            <w:tcW w:type="dxa" w:w="13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时刻</w:t>
            </w:r>
          </w:p>
        </w:tc>
        <w:tc>
          <w:tcPr>
            <w:tcW w:type="dxa" w:w="294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用户感受</w:t>
            </w:r>
          </w:p>
        </w:tc>
        <w:tc>
          <w:tcPr>
            <w:tcW w:type="dxa" w:w="510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技术手段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打开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“怎么这么快”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PPR、CDN、字体子集、AVIF、Speculation Rules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输入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“不用等”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本地计算、乐观结果、防抖、View Transitions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比较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“看得懂”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成本瀑布、价差、回购、排名理由</w:t>
            </w:r>
          </w:p>
        </w:tc>
      </w:tr>
      <w:tr>
        <w:trPr>
          <w:cantSpli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回来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“它记得我”</w:t>
            </w:r>
          </w:p>
        </w:tc>
        <w:tc>
          <w:tcPr>
            <w:tcW w:type="dxa" w:w="51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6"/>
              </w:rPr>
              <w:t>local-first、提醒、持仓、个性化单位</w:t>
            </w:r>
          </w:p>
        </w:tc>
      </w:tr>
    </w:tbl>
    <w:p>
      <w:pPr>
        <w:spacing w:after="20"/>
      </w:pP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03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v1.1 目标架构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少一个 worker，多一层同步，多一个 AI 网关。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01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v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0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微软雅黑" w:hAnsi="微软雅黑" w:eastAsia="微软雅黑"/>
          <w:color w:val="6F7468"/>
          <w:sz w:val="15"/>
        </w:rPr>
        <w:t>图 3-1 · GoldLens 2.1 Experience-first 架构：四层、一个 Inngest、一个 AI Gateway。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3.1  </w:t>
      </w:r>
      <w:r>
        <w:rPr>
          <w:rFonts w:ascii="微软雅黑" w:hAnsi="微软雅黑" w:eastAsia="微软雅黑"/>
          <w:b/>
          <w:color w:val="1B1D18"/>
          <w:sz w:val="24"/>
        </w:rPr>
        <w:t>分层职责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3-1 · v1.1 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535"/>
        <w:gridCol w:w="3288"/>
      </w:tblGrid>
      <w:tr>
        <w:trPr>
          <w:cantSplit/>
          <w:tblHeader/>
          <w:keepNext/>
        </w:trPr>
        <w:tc>
          <w:tcPr>
            <w:tcW w:type="dxa" w:w="158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层</w:t>
            </w:r>
          </w:p>
        </w:tc>
        <w:tc>
          <w:tcPr>
            <w:tcW w:type="dxa" w:w="45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职责</w:t>
            </w:r>
          </w:p>
        </w:tc>
        <w:tc>
          <w:tcPr>
            <w:tcW w:type="dxa" w:w="328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关键变化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Experience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Web/PWA、Expo 壳、Dealer、Admin、AI Copilot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PPR/View Transitions/Base UI；Copilot 作为入口而非独立产品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Application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Edge、RSC、Server Actions、AI Gateway、Auth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去掉自建 worker；AI 走 Gateway；写操作走 Actions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Data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Postgres、ElectricSQL、Redis、R2、Analytics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增加 shape 同步；私有数据不进公共 shape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Async &amp; Integrations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Inngest、行情、Dealer、支付、通知、观测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Inngest 取代队列 + worker；事件驱动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3EBD8"/>
            <w:tcBorders>
              <w:top w:val="single" w:sz="6" w:space="0" w:color="D9C48F"/>
              <w:left w:val="single" w:sz="6" w:space="0" w:color="D9C48F"/>
              <w:bottom w:val="single" w:sz="6" w:space="0" w:color="D9C48F"/>
              <w:right w:val="single" w:sz="6" w:space="0" w:color="D9C48F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B8892E"/>
                <w:sz w:val="15"/>
              </w:rPr>
              <w:t>架构简化</w:t>
            </w:r>
          </w:p>
          <w:p>
            <w:pPr>
              <w:spacing w:after="0" w:line="336" w:lineRule="auto"/>
            </w:pPr>
            <w:r>
              <w:rPr>
                <w:rFonts w:ascii="微软雅黑" w:hAnsi="微软雅黑" w:eastAsia="微软雅黑"/>
                <w:color w:val="1B1D18"/>
                <w:sz w:val="19"/>
              </w:rPr>
              <w:t>v1.0 的“Next.js + 独立 worker + QStash/BullMQ”在 v1.1 变成“Next.js + Inngest”。少一个常驻服务、少一套队列运维，durable steps 自带重试、回放与可观测性。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3.2  </w:t>
      </w:r>
      <w:r>
        <w:rPr>
          <w:rFonts w:ascii="微软雅黑" w:hAnsi="微软雅黑" w:eastAsia="微软雅黑"/>
          <w:b/>
          <w:color w:val="1B1D18"/>
          <w:sz w:val="24"/>
        </w:rPr>
        <w:t>新增与移除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3-2 · 架构变化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082"/>
        <w:gridCol w:w="4195"/>
      </w:tblGrid>
      <w:tr>
        <w:trPr>
          <w:cantSplit/>
          <w:tblHeader/>
          <w:keepNext/>
        </w:trPr>
        <w:tc>
          <w:tcPr>
            <w:tcW w:type="dxa" w:w="113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变化</w:t>
            </w:r>
          </w:p>
        </w:tc>
        <w:tc>
          <w:tcPr>
            <w:tcW w:type="dxa" w:w="408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419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原因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新增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ElectricSQL shape 同步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公开价格/报价即时、离线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新增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IndexedDB outbox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弱网写入不丢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新增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Inngest durable workflows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报价/提醒/计费可靠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新增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Gateway + SDK 6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模型路由、缓存、降级、观测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新增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Expo native shell（P3）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推送/分享/触感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移除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自建 worker 进程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Inngest 托管执行</w:t>
            </w:r>
          </w:p>
        </w:tc>
      </w:tr>
      <w:tr>
        <w:trPr>
          <w:cantSplit/>
          <w:keepNex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移除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QStash/BullMQ 队列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Inngest 事件与 step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保留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Postgres 作为唯一事实源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审计与事务</w:t>
            </w:r>
          </w:p>
        </w:tc>
      </w:tr>
    </w:tbl>
    <w:p>
      <w:pPr>
        <w:spacing w:after="20"/>
      </w:pP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04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技术雷达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先进不是“全都要”，而是知道什么该试、什么该等。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4-1 · GoldLens 技术雷达（2026 Q4）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762"/>
        <w:gridCol w:w="3628"/>
      </w:tblGrid>
      <w:tr>
        <w:trPr>
          <w:cantSplit/>
          <w:tblHeader/>
        </w:trPr>
        <w:tc>
          <w:tcPr>
            <w:tcW w:type="dxa" w:w="1020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476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技术</w:t>
            </w:r>
          </w:p>
        </w:tc>
        <w:tc>
          <w:tcPr>
            <w:tcW w:type="dxa" w:w="362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判断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Adopt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Next.js 16 App Router / PPR / Cache Components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首屏与动态价格共存，直接采用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Adopt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React 19 + React Compiler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减少手写 memo，提升交互一致性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Adopt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TypeScript strict + Zod 4 + Drizzle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端到端类型与契约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Adopt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Tailwind v4 + Base UI + shadcn/ui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设计系统与可访问性基线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Adopt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Motion + View Transitions API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页面转场与数字变化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Adopt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Postgres 18 + Neon + Redis + R2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事实源与缓存/对象存储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Adopt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Inngest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durable workflows，替代自建 worker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Trial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ElectricSQL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读同步；2 周 spike 验证私有 shape/离线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Trial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SDK 6 + AI Gateway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结构化抽取/工具调用；先做 2 个场景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Trial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Expo native shell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PWA 验证留存后再做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Trial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Speculation Rules / scroll-driven animations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渐进增强，失败不影响功能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Hold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微前端 / Module Federation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团队规模不匹配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Hold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Kubernetes / 服务网格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Vercel + Inngest 足够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Hold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GraphQL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RSC + REST/OpenAPI 更简单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Hold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Convex / Supabase 全家桶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SQL/审计/可迁移优先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Hold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3D/WebGL 首屏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性能与可访问性代价高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Hold</w:t>
            </w:r>
          </w:p>
        </w:tc>
        <w:tc>
          <w:tcPr>
            <w:tcW w:type="dxa" w:w="476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自研 CRDT 同步引擎</w:t>
            </w:r>
          </w:p>
        </w:tc>
        <w:tc>
          <w:tcPr>
            <w:tcW w:type="dxa" w:w="362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先用 ElectricSQL + 服务端权威写</w:t>
            </w:r>
          </w:p>
        </w:tc>
      </w:tr>
    </w:tbl>
    <w:p>
      <w:pPr>
        <w:spacing w:after="20"/>
      </w:pP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05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体验技术栈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让 Web 像原生，让原生像同一个产品。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5.1  </w:t>
      </w:r>
      <w:r>
        <w:rPr>
          <w:rFonts w:ascii="微软雅黑" w:hAnsi="微软雅黑" w:eastAsia="微软雅黑"/>
          <w:b/>
          <w:color w:val="1B1D18"/>
          <w:sz w:val="24"/>
        </w:rPr>
        <w:t>Web 与交互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5-1 · 体验栈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742"/>
        <w:gridCol w:w="4195"/>
      </w:tblGrid>
      <w:tr>
        <w:trPr>
          <w:cantSplit/>
          <w:tblHeader/>
        </w:trPr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374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选择</w:t>
            </w:r>
          </w:p>
        </w:tc>
        <w:tc>
          <w:tcPr>
            <w:tcW w:type="dxa" w:w="419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用法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渲染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Next.js 16 PPR + RSC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静态 shell 先到，价格/个性化流式注入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编译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React Compiler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自动 memo；减少手写 useMemo/useCallback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样式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Tailwind v4 + CSS variables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OKLCH 色彩、容器查询、subgrid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组件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Base UI + shadcn/ui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Dialog/Select/Tabs/Popover，无障碍基线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动效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Motion + View Transitions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市场切换、结果卡、数字滚动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预取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Speculation Rules + Link prefetch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hover/viewport 预取，减少等待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字体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可变字体 + 子集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中文按需子集，避免 2MB 字体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图片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AVIF/WebP + responsive sizes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门店/收据/分享卡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PWA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Serwist + IndexedDB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离线 shell、最近价格、持仓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原生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Expo SDK 54 + Expo Router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推送/分享/触感；共享 core 包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5.2  </w:t>
      </w:r>
      <w:r>
        <w:rPr>
          <w:rFonts w:ascii="微软雅黑" w:hAnsi="微软雅黑" w:eastAsia="微软雅黑"/>
          <w:b/>
          <w:color w:val="1B1D18"/>
          <w:sz w:val="24"/>
        </w:rPr>
        <w:t>现代 Web 平台能力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View Transitions：市场切换、计算器结果更新不闪屏；失败时回退普通渲染。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Speculation Rules：对“计算/市场/门店”链接预渲染，首屏点击接近 0ms。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Container Queries + Subgrid：结果卡在侧栏/移动端自动重排，不写两套布局。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OKLCH + color-mix：暗/亮主题与金色状态色一致，不出现“脏金”。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@starting-style + anchor positioning：弹层/提示从触发点自然出现。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Scroll-driven animations：价格区间的进度条随滚动解释，不影响主线程。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5.3  </w:t>
      </w:r>
      <w:r>
        <w:rPr>
          <w:rFonts w:ascii="微软雅黑" w:hAnsi="微软雅黑" w:eastAsia="微软雅黑"/>
          <w:b/>
          <w:color w:val="1B1D18"/>
          <w:sz w:val="24"/>
        </w:rPr>
        <w:t>页面体验规格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5-2 · 页面与“感知”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969"/>
        <w:gridCol w:w="4082"/>
      </w:tblGrid>
      <w:tr>
        <w:trPr>
          <w:cantSplit/>
          <w:tblHeader/>
          <w:keepNext/>
        </w:trPr>
        <w:tc>
          <w:tcPr>
            <w:tcW w:type="dxa" w:w="13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页面</w:t>
            </w:r>
          </w:p>
        </w:tc>
        <w:tc>
          <w:tcPr>
            <w:tcW w:type="dxa" w:w="3969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关键体验</w:t>
            </w:r>
          </w:p>
        </w:tc>
        <w:tc>
          <w:tcPr>
            <w:tcW w:type="dxa" w:w="408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技术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Calculate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输入即结果，无“计算中”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本地 core + 乐观结果 + 数字动效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Compare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切市场不刷新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View Transitions + shape 同步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Quotes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报价到达实时插入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SSE/Inngest + 乐观列表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Portfolio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离线也能看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IndexedDB + 本地估值</w:t>
            </w:r>
          </w:p>
        </w:tc>
      </w:tr>
      <w:tr>
        <w:trPr>
          <w:cantSplit/>
          <w:keepNex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报价表单自动填充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抽取 + 结构化校验</w:t>
            </w:r>
          </w:p>
        </w:tc>
      </w:tr>
      <w:tr>
        <w:trPr>
          <w:cantSplit/>
        </w:trPr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Learn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秒开、可分享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PPR + ISR + OG 图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5.4  </w:t>
      </w:r>
      <w:r>
        <w:rPr>
          <w:rFonts w:ascii="微软雅黑" w:hAnsi="微软雅黑" w:eastAsia="微软雅黑"/>
          <w:b/>
          <w:color w:val="1B1D18"/>
          <w:sz w:val="24"/>
        </w:rPr>
        <w:t>为什么不是 Astro / SvelteKit / 原生优先</w:t>
      </w:r>
    </w:p>
    <w:p>
      <w:pPr>
        <w:spacing w:after="100" w:line="341" w:lineRule="auto"/>
      </w:pPr>
      <w:r>
        <w:rPr>
          <w:rFonts w:ascii="微软雅黑" w:hAnsi="微软雅黑" w:eastAsia="微软雅黑"/>
          <w:b w:val="0"/>
          <w:color w:val="1B1D18"/>
          <w:sz w:val="20"/>
        </w:rPr>
        <w:t>Astro 对内容站更轻，但 GoldLens 的核心是登录态、计算器、报价与实时数据，Next.js 的 RSC/PPR/Actions 更完整；SvelteKit 性能优秀，但团队与生态（shadcn/Base UI/Expo 共享）更适合 React；原生优先会拖慢验证，PWA 先跑 8 周，再用 Expo 补推送与触感。</w:t>
      </w: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06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Local-first 数据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读要瞬时，写要可靠，私有数据不乱跑。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49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c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微软雅黑" w:hAnsi="微软雅黑" w:eastAsia="微软雅黑"/>
          <w:color w:val="6F7468"/>
          <w:sz w:val="15"/>
        </w:rPr>
        <w:t>图 6-1 · Local-first 读写路径：公开数据 shape 同步，私有写入 outbox + Server Action。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6.1  </w:t>
      </w:r>
      <w:r>
        <w:rPr>
          <w:rFonts w:ascii="微软雅黑" w:hAnsi="微软雅黑" w:eastAsia="微软雅黑"/>
          <w:b/>
          <w:color w:val="1B1D18"/>
          <w:sz w:val="24"/>
        </w:rPr>
        <w:t>同步范围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6-1 · 数据同步策略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948"/>
        <w:gridCol w:w="2494"/>
        <w:gridCol w:w="2381"/>
      </w:tblGrid>
      <w:tr>
        <w:trPr>
          <w:cantSplit/>
          <w:tblHeader/>
          <w:keepNext/>
        </w:trPr>
        <w:tc>
          <w:tcPr>
            <w:tcW w:type="dxa" w:w="158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数据</w:t>
            </w:r>
          </w:p>
        </w:tc>
        <w:tc>
          <w:tcPr>
            <w:tcW w:type="dxa" w:w="294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读</w:t>
            </w:r>
          </w:p>
        </w:tc>
        <w:tc>
          <w:tcPr>
            <w:tcW w:type="dxa" w:w="249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写</w:t>
            </w:r>
          </w:p>
        </w:tc>
        <w:tc>
          <w:tcPr>
            <w:tcW w:type="dxa" w:w="238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原因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最新价格/汇率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ElectricSQL shape + SSE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仅服务端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公开、可缓存、强时效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 报价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ElectricSQL shape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 Portal / API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公开可比较、带过期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持仓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Server Action + IndexedDB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Server Action + outbox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私有、需审计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提醒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Server Action + IndexedDB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Server Action + outbox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私有、需服务端调度</w:t>
            </w:r>
          </w:p>
        </w:tc>
      </w:tr>
      <w:tr>
        <w:trPr>
          <w:cantSplit/>
          <w:keepNex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订阅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Server Action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Stripe webhook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不可离线修改</w:t>
            </w:r>
          </w:p>
        </w:tc>
      </w:tr>
      <w:tr>
        <w:trPr>
          <w:cantSplit/>
        </w:trPr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收据</w:t>
            </w:r>
          </w:p>
        </w:tc>
        <w:tc>
          <w:tcPr>
            <w:tcW w:type="dxa" w:w="294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R2 签名 URL</w:t>
            </w:r>
          </w:p>
        </w:tc>
        <w:tc>
          <w:tcPr>
            <w:tcW w:type="dxa" w:w="249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上传 + 服务端扫描</w:t>
            </w:r>
          </w:p>
        </w:tc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隐私与病毒扫描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6.2  </w:t>
      </w:r>
      <w:r>
        <w:rPr>
          <w:rFonts w:ascii="微软雅黑" w:hAnsi="微软雅黑" w:eastAsia="微软雅黑"/>
          <w:b/>
          <w:color w:val="1B1D18"/>
          <w:sz w:val="24"/>
        </w:rPr>
        <w:t>写入与冲突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客户端生成 client_id + idempotency_key；Server Action 以唯一键去重。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持仓/提醒以服务端 version 为准；客户端乐观更新，失败回滚并保留草稿。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离线写入进 IndexedDB outbox；恢复网络后按顺序重放，冲突时提示“保留云端/保留本地”。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金额/重量等关键字段不做自动合并；冲突副本显式呈现。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公共 shape 不包含用户私有字段；私有数据走带会话的 API，避免 RLS 配置错误导致泄露。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6.3  </w:t>
      </w:r>
      <w:r>
        <w:rPr>
          <w:rFonts w:ascii="微软雅黑" w:hAnsi="微软雅黑" w:eastAsia="微软雅黑"/>
          <w:b/>
          <w:color w:val="1B1D18"/>
          <w:sz w:val="24"/>
        </w:rPr>
        <w:t>为什么不是 Zero / Convex</w:t>
      </w:r>
    </w:p>
    <w:p>
      <w:pPr>
        <w:spacing w:after="100" w:line="341" w:lineRule="auto"/>
      </w:pPr>
      <w:r>
        <w:rPr>
          <w:rFonts w:ascii="微软雅黑" w:hAnsi="微软雅黑" w:eastAsia="微软雅黑"/>
          <w:b w:val="0"/>
          <w:color w:val="1B1D18"/>
          <w:sz w:val="20"/>
        </w:rPr>
        <w:t>Zero 的本地写体验更强，但引入新的同步服务与学习成本；Convex 的实时 DX 很好，但 SQL/审计/迁移与金融数据治理不如 Postgres 直接。v1.1 选择“ElectricSQL 读同步 + 服务端权威写”，在体验与可控性之间取平衡；Zero 作为 V2 的候选，等团队与数据模型稳定后再评估。</w:t>
      </w: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07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AI-native 层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让 AI 做“输入”，不让 AI 做“判断”。</w:t>
      </w:r>
    </w:p>
    <w:p>
      <w:pPr>
        <w:spacing w:after="100" w:line="341" w:lineRule="auto"/>
      </w:pPr>
      <w:r>
        <w:rPr>
          <w:rFonts w:ascii="微软雅黑" w:hAnsi="微软雅黑" w:eastAsia="微软雅黑"/>
          <w:b w:val="0"/>
          <w:color w:val="1B1D18"/>
          <w:sz w:val="20"/>
        </w:rPr>
        <w:t>AI 在 GoldLens 的定位是“降低输入成本、提升解释效率”，不是“给买卖建议”。所有涉及金额的计算都必须调用 @goldlens/core 的工具，AI 只负责把自然语言/图片/邮件转成结构化参数，并让用户确认。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7-1 · AI 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75"/>
        <w:gridCol w:w="1474"/>
        <w:gridCol w:w="1587"/>
        <w:gridCol w:w="1701"/>
      </w:tblGrid>
      <w:tr>
        <w:trPr>
          <w:cantSplit/>
          <w:tblHeader/>
          <w:keepNext/>
        </w:trPr>
        <w:tc>
          <w:tcPr>
            <w:tcW w:type="dxa" w:w="170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用例</w:t>
            </w:r>
          </w:p>
        </w:tc>
        <w:tc>
          <w:tcPr>
            <w:tcW w:type="dxa" w:w="317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输入/输出</w:t>
            </w:r>
          </w:p>
        </w:tc>
        <w:tc>
          <w:tcPr>
            <w:tcW w:type="dxa" w:w="147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时延目标</w:t>
            </w:r>
          </w:p>
        </w:tc>
        <w:tc>
          <w:tcPr>
            <w:tcW w:type="dxa" w:w="158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成本目标</w:t>
            </w:r>
          </w:p>
        </w:tc>
        <w:tc>
          <w:tcPr>
            <w:tcW w:type="dxa" w:w="170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护栏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自然语言算账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“1 baht 96.5 今天曼谷” → 参数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&lt; 800ms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&lt; $0.002/次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工具调用 core；不自由计算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收据/报价扫描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图片 → 金额/重量/纯度/日期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&lt; 3s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&lt; $0.01/张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字段置信度；用户确认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Dealer 邮件解析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邮件/CSV → 结构化报价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&lt; 5s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&lt; $0.02/条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人工复核后才上架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客服 Copilot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问题 → 带引用的回答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&lt; 2s 首 token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&lt; $0.01/轮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RAG + 引用；不答建议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每日摘要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价格变化 → 个性化摘要</w:t>
            </w:r>
          </w:p>
        </w:tc>
        <w:tc>
          <w:tcPr>
            <w:tcW w:type="dxa" w:w="147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批处理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&lt; $0.001/人</w:t>
            </w:r>
          </w:p>
        </w:tc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4"/>
              </w:rPr>
              <w:t>模板 + 数据；不预测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7.1  </w:t>
      </w:r>
      <w:r>
        <w:rPr>
          <w:rFonts w:ascii="微软雅黑" w:hAnsi="微软雅黑" w:eastAsia="微软雅黑"/>
          <w:b/>
          <w:color w:val="1B1D18"/>
          <w:sz w:val="24"/>
        </w:rPr>
        <w:t>AI Gateway 与工程化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AI SDK 6 + AI Gateway：统一 provider、超时/重试/降级、缓存、用量与成本观测。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结构化输出用 Zod schema；解析失败自动重试一次，再回退人工。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工具 allowlist：calculate_quote、convert_unit、lookup_dealer、get_price；禁止任意代码/网络。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Prompt 版本化，评估集 ≥ 200 条（收据/邮件/问法），每次模型/提示变更跑回归。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PII 脱敏：手机号、邮箱、证件号在进入模型前替换；使用零保留/区域化端点。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成本上限：按用户/功能/日预算；超限降级到规则解析或人工。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人工复核：任何进入报价/持仓的 AI 字段，首次必须用户确认。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7.2  </w:t>
      </w:r>
      <w:r>
        <w:rPr>
          <w:rFonts w:ascii="微软雅黑" w:hAnsi="微软雅黑" w:eastAsia="微软雅黑"/>
          <w:b/>
          <w:color w:val="1B1D18"/>
          <w:sz w:val="24"/>
        </w:rPr>
        <w:t>AI 治理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7-2 · AI 风险与控制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cantSplit/>
          <w:tblHeader/>
          <w:keepNext/>
        </w:trPr>
        <w:tc>
          <w:tcPr>
            <w:tcW w:type="dxa" w:w="226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7143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控制</w:t>
            </w:r>
          </w:p>
        </w:tc>
      </w:tr>
      <w:tr>
        <w:trPr>
          <w:cantSplit/>
          <w:keepNex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幻觉/算错</w:t>
            </w:r>
          </w:p>
        </w:tc>
        <w:tc>
          <w:tcPr>
            <w:tcW w:type="dxa" w:w="7143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工具调用 core；输出 schema；二次校验；不自由生成数字</w:t>
            </w:r>
          </w:p>
        </w:tc>
      </w:tr>
      <w:tr>
        <w:trPr>
          <w:cantSplit/>
          <w:keepNex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Prompt injection</w:t>
            </w:r>
          </w:p>
        </w:tc>
        <w:tc>
          <w:tcPr>
            <w:tcW w:type="dxa" w:w="7143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把收据/邮件当不可信数据；工具 allowlist；系统提示隔离；输出过滤</w:t>
            </w:r>
          </w:p>
        </w:tc>
      </w:tr>
      <w:tr>
        <w:trPr>
          <w:cantSplit/>
          <w:keepNex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隐私</w:t>
            </w:r>
          </w:p>
        </w:tc>
        <w:tc>
          <w:tcPr>
            <w:tcW w:type="dxa" w:w="7143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PII 脱敏、零保留、区域端点、最小化上传</w:t>
            </w:r>
          </w:p>
        </w:tc>
      </w:tr>
      <w:tr>
        <w:trPr>
          <w:cantSplit/>
          <w:keepNex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成本失控</w:t>
            </w:r>
          </w:p>
        </w:tc>
        <w:tc>
          <w:tcPr>
            <w:tcW w:type="dxa" w:w="7143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预算、缓存、批处理、降级、按功能开关</w:t>
            </w:r>
          </w:p>
        </w:tc>
      </w:tr>
      <w:tr>
        <w:trPr>
          <w:cantSplit/>
          <w:keepNex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监管</w:t>
            </w:r>
          </w:p>
        </w:tc>
        <w:tc>
          <w:tcPr>
            <w:tcW w:type="dxa" w:w="7143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不输出投资建议；显著 AI 标识；人工复核；审计日志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供应商锁定</w:t>
            </w:r>
          </w:p>
        </w:tc>
        <w:tc>
          <w:tcPr>
            <w:tcW w:type="dxa" w:w="7143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Gateway 抽象；prompt/评估与 provider 解耦</w:t>
            </w:r>
          </w:p>
        </w:tc>
      </w:tr>
    </w:tbl>
    <w:p>
      <w:pPr>
        <w:spacing w:after="20"/>
      </w:pP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08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Durable workflows 与实时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少一个 worker，多一层可靠。</w:t>
      </w:r>
    </w:p>
    <w:p>
      <w:pPr>
        <w:spacing w:after="100" w:line="341" w:lineRule="auto"/>
      </w:pPr>
      <w:r>
        <w:rPr>
          <w:rFonts w:ascii="微软雅黑" w:hAnsi="微软雅黑" w:eastAsia="微软雅黑"/>
          <w:b w:val="0"/>
          <w:color w:val="1B1D18"/>
          <w:sz w:val="20"/>
        </w:rPr>
        <w:t>Inngest 把“报价分发、过期、提醒、计费、AI 抽取”变成可观测的 step functions：每一步有输入/输出、重试、超时、回放；不需要维护队列与 worker。Next.js 只负责请求/响应，长任务交给 Inngest。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8-1 · Inngest 函数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814"/>
        <w:gridCol w:w="4309"/>
        <w:gridCol w:w="1587"/>
      </w:tblGrid>
      <w:tr>
        <w:trPr>
          <w:cantSplit/>
          <w:tblHeader/>
          <w:keepNext/>
        </w:trPr>
        <w:tc>
          <w:tcPr>
            <w:tcW w:type="dxa" w:w="170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函数</w:t>
            </w:r>
          </w:p>
        </w:tc>
        <w:tc>
          <w:tcPr>
            <w:tcW w:type="dxa" w:w="181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触发</w:t>
            </w:r>
          </w:p>
        </w:tc>
        <w:tc>
          <w:tcPr>
            <w:tcW w:type="dxa" w:w="4309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关键步骤</w:t>
            </w:r>
          </w:p>
        </w:tc>
        <w:tc>
          <w:tcPr>
            <w:tcW w:type="dxa" w:w="158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幂等/重试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ingest.prices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cron 60s</w:t>
            </w:r>
          </w:p>
        </w:tc>
        <w:tc>
          <w:tcPr>
            <w:tcW w:type="dxa" w:w="430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fetch → validate → persist → cache → SSE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source + observed_at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quotes.dispatch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event</w:t>
            </w:r>
          </w:p>
        </w:tc>
        <w:tc>
          <w:tcPr>
            <w:tcW w:type="dxa" w:w="430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load request → select dealers → notify → wait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request_id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quotes.expire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cron 5m</w:t>
            </w:r>
          </w:p>
        </w:tc>
        <w:tc>
          <w:tcPr>
            <w:tcW w:type="dxa" w:w="430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mark expired → rerank → notify user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quote_id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alerts.check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cron 60s</w:t>
            </w:r>
          </w:p>
        </w:tc>
        <w:tc>
          <w:tcPr>
            <w:tcW w:type="dxa" w:w="430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load alerts → price → compare → notify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alert_id + window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billing.dunning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Stripe event</w:t>
            </w:r>
          </w:p>
        </w:tc>
        <w:tc>
          <w:tcPr>
            <w:tcW w:type="dxa" w:w="430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retry → grace → downgrade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invoice_id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ai.extract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event</w:t>
            </w:r>
          </w:p>
        </w:tc>
        <w:tc>
          <w:tcPr>
            <w:tcW w:type="dxa" w:w="430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download → redact → model → schema → review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file_hash + prompt_version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digest.daily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cron 8am</w:t>
            </w:r>
          </w:p>
        </w:tc>
        <w:tc>
          <w:tcPr>
            <w:tcW w:type="dxa" w:w="430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aggregate → summarize → send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user_id + date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8.1  </w:t>
      </w:r>
      <w:r>
        <w:rPr>
          <w:rFonts w:ascii="微软雅黑" w:hAnsi="微软雅黑" w:eastAsia="微软雅黑"/>
          <w:b/>
          <w:color w:val="1B1D18"/>
          <w:sz w:val="24"/>
        </w:rPr>
        <w:t>实时价格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8-2 · 实时策略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3175"/>
      </w:tblGrid>
      <w:tr>
        <w:trPr>
          <w:cantSplit/>
          <w:tblHeader/>
          <w:keepNext/>
        </w:trPr>
        <w:tc>
          <w:tcPr>
            <w:tcW w:type="dxa" w:w="170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45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方案</w:t>
            </w:r>
          </w:p>
        </w:tc>
        <w:tc>
          <w:tcPr>
            <w:tcW w:type="dxa" w:w="317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降级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价格看板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SSE `/events/prices`，30s/变化推送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5s 轮询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报价到达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Inngest → SSE/通知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刷新列表</w:t>
            </w:r>
          </w:p>
        </w:tc>
      </w:tr>
      <w:tr>
        <w:trPr>
          <w:cantSplit/>
          <w:keepNex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Dealer 后台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SSE + 乐观列表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手动刷新</w:t>
            </w:r>
          </w:p>
        </w:tc>
      </w:tr>
      <w:tr>
        <w:trPr>
          <w:cantSplit/>
        </w:trPr>
        <w:tc>
          <w:tcPr>
            <w:tcW w:type="dxa" w:w="170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离线</w:t>
            </w:r>
          </w:p>
        </w:tc>
        <w:tc>
          <w:tcPr>
            <w:tcW w:type="dxa" w:w="45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IndexedDB 最近快照</w:t>
            </w:r>
          </w:p>
        </w:tc>
        <w:tc>
          <w:tcPr>
            <w:tcW w:type="dxa" w:w="317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显示“离线/时间戳”</w:t>
            </w:r>
          </w:p>
        </w:tc>
      </w:tr>
    </w:tbl>
    <w:p>
      <w:pPr>
        <w:spacing w:after="20"/>
      </w:pP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09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性能与可访问性预算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“快”要可测量，“好看”要可用。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9-1 · 体验预算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835"/>
        <w:gridCol w:w="3969"/>
      </w:tblGrid>
      <w:tr>
        <w:trPr>
          <w:cantSplit/>
          <w:tblHeader/>
          <w:keepNext/>
        </w:trPr>
        <w:tc>
          <w:tcPr>
            <w:tcW w:type="dxa" w:w="260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283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3969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验证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LCP（中端安卓 4G）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&lt; 1.8s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Lighthouse CI + RUM p75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INP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&lt; 100ms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RUM + Playwright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CLS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&lt; 0.05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Lighthouse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TTFB（缓存）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&lt; 300ms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Checkly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首屏 JS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&lt; 120KB gzip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bundle analyzer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路由切换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&lt; 150ms 感知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View Transitions + 预取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可访问性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WCAG 2.2 AA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axe + 键盘 + 读屏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对比度</w:t>
            </w:r>
          </w:p>
        </w:tc>
        <w:tc>
          <w:tcPr>
            <w:tcW w:type="dxa" w:w="283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≥ 4.5:1</w:t>
            </w:r>
          </w:p>
        </w:tc>
        <w:tc>
          <w:tcPr>
            <w:tcW w:type="dxa" w:w="3969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token 审查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9.1  </w:t>
      </w:r>
      <w:r>
        <w:rPr>
          <w:rFonts w:ascii="微软雅黑" w:hAnsi="微软雅黑" w:eastAsia="微软雅黑"/>
          <w:b/>
          <w:color w:val="1B1D18"/>
          <w:sz w:val="24"/>
        </w:rPr>
        <w:t>设备分层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低端安卓（Moto G4 / 4x CPU 降速）：计算器可用、图表降级为静态 SVG、AI 功能按需加载。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中端 iPhone/Android：完整交互、View Transitions、PWA 安装。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桌面：并排对比、键盘快捷键、Command Palette。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弱网/离线：最近价格、计算器、持仓可读；写操作排队。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9.2  </w:t>
      </w:r>
      <w:r>
        <w:rPr>
          <w:rFonts w:ascii="微软雅黑" w:hAnsi="微软雅黑" w:eastAsia="微软雅黑"/>
          <w:b/>
          <w:color w:val="1B1D18"/>
          <w:sz w:val="24"/>
        </w:rPr>
        <w:t>可访问性与国际化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WCAG 2.2 AA：焦点可见、键盘可达、错误可读、触控 ≥ 44px。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prefers-reduced-motion：关闭转场/数字滚动，保留状态变化。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next-intl + ICU：zh/en/th/ar；RTL 用 logical properties，不写 left/right。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数字/货币/单位按 locale 格式化；价格永远带时间戳与来源。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SEO：PPR/ISR、hreflang、JSON-LD、OG 图；程序化落地页。</w:t>
      </w: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10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安全、隐私与 AI 治理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越“聪明”，越要限制它。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10-1 · v1.1 新增风险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742"/>
        <w:gridCol w:w="3855"/>
      </w:tblGrid>
      <w:tr>
        <w:trPr>
          <w:cantSplit/>
          <w:tblHeader/>
          <w:keepNext/>
        </w:trPr>
        <w:tc>
          <w:tcPr>
            <w:tcW w:type="dxa" w:w="181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374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385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控制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Local-first 泄露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设备丢失/共享设备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不缓存收据原图；敏感数据加密；会话过期清理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Shape 越权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公共 shape 混入私有字段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shape 白名单；私有数据走 API；自动测试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注入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收据/邮件含恶意指令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不可信数据隔离；工具 allowlist；输出 schema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误填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金额/重量识别错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置信度阈值；用户确认；人工复核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供应商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AI/同步/工作流锁定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adapter + 出口数据 + 回退方案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成本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AI/同步/工作流费用失控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预算、限额、缓存、按功能开关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10.1  </w:t>
      </w:r>
      <w:r>
        <w:rPr>
          <w:rFonts w:ascii="微软雅黑" w:hAnsi="微软雅黑" w:eastAsia="微软雅黑"/>
          <w:b/>
          <w:color w:val="1B1D18"/>
          <w:sz w:val="24"/>
        </w:rPr>
        <w:t>安全基线（在 v1.0 之上）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Passkeys/WebAuthn 优先；邮箱 magic link 兜底；敏感操作二次验证。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Turnstile + 速率限制 + 设备指纹，保护计算/询价/AI 接口。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CSP 收紧到 self + 必要域名；AI 输出不进 innerHTML。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AI 供应商零保留/区域端点；PII 脱敏；prompt/response 审计保留 30 天。</w:t>
      </w:r>
    </w:p>
    <w:p>
      <w:pPr>
        <w:spacing w:after="40" w:line="348" w:lineRule="auto"/>
        <w:ind w:left="425" w:hanging="255"/>
      </w:pPr>
      <w:r>
        <w:rPr>
          <w:rFonts w:ascii="微软雅黑" w:hAnsi="微软雅黑" w:eastAsia="微软雅黑"/>
          <w:b/>
          <w:color w:val="B8892E"/>
          <w:sz w:val="19"/>
        </w:rPr>
        <w:t xml:space="preserve">·  </w:t>
      </w:r>
      <w:r>
        <w:rPr>
          <w:rFonts w:ascii="微软雅黑" w:hAnsi="微软雅黑" w:eastAsia="微软雅黑"/>
          <w:b w:val="0"/>
          <w:color w:val="1B1D18"/>
          <w:sz w:val="19"/>
        </w:rPr>
        <w:t>依赖供应链：Dependabot/CodeQL/secret scanning；AI SDK 固定 minor。</w:t>
      </w: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11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迁移影响与路线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20 周，不是 18 周；多出的 2 周买“确定性”。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11-1 · 迁移影响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742"/>
        <w:gridCol w:w="3288"/>
      </w:tblGrid>
      <w:tr>
        <w:trPr>
          <w:cantSplit/>
          <w:tblHeader/>
          <w:keepNext/>
        </w:trPr>
        <w:tc>
          <w:tcPr>
            <w:tcW w:type="dxa" w:w="238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v1.0 组件</w:t>
            </w:r>
          </w:p>
        </w:tc>
        <w:tc>
          <w:tcPr>
            <w:tcW w:type="dxa" w:w="374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v1.1 处理</w:t>
            </w:r>
          </w:p>
        </w:tc>
        <w:tc>
          <w:tcPr>
            <w:tcW w:type="dxa" w:w="328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风险</w:t>
            </w:r>
          </w:p>
        </w:tc>
      </w:tr>
      <w:tr>
        <w:trPr>
          <w:cantSplit/>
          <w:keepNext/>
        </w:trPr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QStash/BullMQ + worker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迁移到 Inngest 函数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重写调度/重试逻辑</w:t>
            </w:r>
          </w:p>
        </w:tc>
      </w:tr>
      <w:tr>
        <w:trPr>
          <w:cantSplit/>
          <w:keepNext/>
        </w:trPr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TanStack Query 缓存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保留 + ElectricSQL shape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双写期一致性</w:t>
            </w:r>
          </w:p>
        </w:tc>
      </w:tr>
      <w:tr>
        <w:trPr>
          <w:cantSplit/>
          <w:keepNext/>
        </w:trPr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localStorage 持仓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IndexedDB + Server Action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迁移/冲突</w:t>
            </w:r>
          </w:p>
        </w:tc>
      </w:tr>
      <w:tr>
        <w:trPr>
          <w:cantSplit/>
          <w:keepNext/>
        </w:trPr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shadcn/Radix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Base UI + 保留样式 token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组件行为差异</w:t>
            </w:r>
          </w:p>
        </w:tc>
      </w:tr>
      <w:tr>
        <w:trPr>
          <w:cantSplit/>
          <w:keepNext/>
        </w:trPr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无 AI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Gateway + 2 个用例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准确率/成本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18 周计划</w:t>
            </w:r>
          </w:p>
        </w:tc>
        <w:tc>
          <w:tcPr>
            <w:tcW w:type="dxa" w:w="374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20 周 + 2 周 spike</w:t>
            </w:r>
          </w:p>
        </w:tc>
        <w:tc>
          <w:tcPr>
            <w:tcW w:type="dxa" w:w="328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排期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11.1  </w:t>
      </w:r>
      <w:r>
        <w:rPr>
          <w:rFonts w:ascii="微软雅黑" w:hAnsi="微软雅黑" w:eastAsia="微软雅黑"/>
          <w:b/>
          <w:color w:val="1B1D18"/>
          <w:sz w:val="24"/>
        </w:rPr>
        <w:t>20 周路线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11-2 · 阶段与验收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361"/>
        <w:gridCol w:w="4082"/>
        <w:gridCol w:w="2721"/>
      </w:tblGrid>
      <w:tr>
        <w:trPr>
          <w:cantSplit/>
          <w:tblHeader/>
          <w:keepNext/>
        </w:trPr>
        <w:tc>
          <w:tcPr>
            <w:tcW w:type="dxa" w:w="124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36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周期</w:t>
            </w:r>
          </w:p>
        </w:tc>
        <w:tc>
          <w:tcPr>
            <w:tcW w:type="dxa" w:w="408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交付</w:t>
            </w:r>
          </w:p>
        </w:tc>
        <w:tc>
          <w:tcPr>
            <w:tcW w:type="dxa" w:w="2721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验收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Spike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W1–2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PPR、Electric、Inngest、AI 四个验证</w:t>
            </w:r>
          </w:p>
        </w:tc>
        <w:tc>
          <w:tcPr>
            <w:tcW w:type="dxa" w:w="272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五项指标达标，否则回退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 基础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W1–4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Monorepo、core、DB、Auth、设计系统</w:t>
            </w:r>
          </w:p>
        </w:tc>
        <w:tc>
          <w:tcPr>
            <w:tcW w:type="dxa" w:w="272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核心向量 100%；登录/同步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P1 消费端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W3–9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计算器、市场、持仓、提醒、PWA、i18n</w:t>
            </w:r>
          </w:p>
        </w:tc>
        <w:tc>
          <w:tcPr>
            <w:tcW w:type="dxa" w:w="272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LCP &lt; 1.8s；激活 ≥ 45%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P2 Dealer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W7–14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Portal、询价、Inngest、订阅、Admin</w:t>
            </w:r>
          </w:p>
        </w:tc>
        <w:tc>
          <w:tcPr>
            <w:tcW w:type="dxa" w:w="272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10 家；24h 响应 ≥ 70%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P3 规模化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W12–18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UAE/India、Expo 壳、性能/安全</w:t>
            </w:r>
          </w:p>
        </w:tc>
        <w:tc>
          <w:tcPr>
            <w:tcW w:type="dxa" w:w="272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支付 ≥ 1.5%；Lighthouse ≥ 90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Hardening</w:t>
            </w:r>
          </w:p>
        </w:tc>
        <w:tc>
          <w:tcPr>
            <w:tcW w:type="dxa" w:w="136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W19–20</w:t>
            </w:r>
          </w:p>
        </w:tc>
        <w:tc>
          <w:tcPr>
            <w:tcW w:type="dxa" w:w="408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渗透测试、压测、灾备、发布</w:t>
            </w:r>
          </w:p>
        </w:tc>
        <w:tc>
          <w:tcPr>
            <w:tcW w:type="dxa" w:w="2721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0 critical/high；回滚演练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11.2  </w:t>
      </w:r>
      <w:r>
        <w:rPr>
          <w:rFonts w:ascii="微软雅黑" w:hAnsi="微软雅黑" w:eastAsia="微软雅黑"/>
          <w:b/>
          <w:color w:val="1B1D18"/>
          <w:sz w:val="24"/>
        </w:rPr>
        <w:t>Spike 验收（Go/No-Go）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11-3 · 两周必须证明的五件事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195"/>
        <w:gridCol w:w="3402"/>
      </w:tblGrid>
      <w:tr>
        <w:trPr>
          <w:cantSplit/>
          <w:tblHeader/>
          <w:keepNext/>
        </w:trPr>
        <w:tc>
          <w:tcPr>
            <w:tcW w:type="dxa" w:w="1814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验证</w:t>
            </w:r>
          </w:p>
        </w:tc>
        <w:tc>
          <w:tcPr>
            <w:tcW w:type="dxa" w:w="4195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通过标准</w:t>
            </w:r>
          </w:p>
        </w:tc>
        <w:tc>
          <w:tcPr>
            <w:tcW w:type="dxa" w:w="3402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不通过的回退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PPR/React Compiler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中端安卓 LCP &lt; 1.8s；INP &lt; 100ms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退回 RSC + 客户端缓存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ElectricSQL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公开 shape 同步 &lt; 300ms；离线可读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TanStack Query + IndexedDB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Inngest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报价流程可见、可重试、可回放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保留 QStash/BullMQ worker</w:t>
            </w:r>
          </w:p>
        </w:tc>
      </w:tr>
      <w:tr>
        <w:trPr>
          <w:cantSplit/>
          <w:keepNex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抽取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50 张收据字段准确率 ≥ 95%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只做规则解析 + 人工</w:t>
            </w:r>
          </w:p>
        </w:tc>
      </w:tr>
      <w:tr>
        <w:trPr>
          <w:cantSplit/>
        </w:trPr>
        <w:tc>
          <w:tcPr>
            <w:tcW w:type="dxa" w:w="1814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成本</w:t>
            </w:r>
          </w:p>
        </w:tc>
        <w:tc>
          <w:tcPr>
            <w:tcW w:type="dxa" w:w="4195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&lt; $0.01/次；基础设施 &lt; $1.5k/月</w:t>
            </w:r>
          </w:p>
        </w:tc>
        <w:tc>
          <w:tcPr>
            <w:tcW w:type="dxa" w:w="3402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限制功能/换模型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11.3  </w:t>
      </w:r>
      <w:r>
        <w:rPr>
          <w:rFonts w:ascii="微软雅黑" w:hAnsi="微软雅黑" w:eastAsia="微软雅黑"/>
          <w:b/>
          <w:color w:val="1B1D18"/>
          <w:sz w:val="24"/>
        </w:rPr>
        <w:t>团队与预算</w:t>
      </w:r>
    </w:p>
    <w:p>
      <w:pPr>
        <w:spacing w:after="100" w:line="341" w:lineRule="auto"/>
      </w:pPr>
      <w:r>
        <w:rPr>
          <w:rFonts w:ascii="微软雅黑" w:hAnsi="微软雅黑" w:eastAsia="微软雅黑"/>
          <w:b w:val="0"/>
          <w:color w:val="1B1D18"/>
          <w:sz w:val="20"/>
        </w:rPr>
        <w:t>4 FTE × 20 周：Tech Lead/Full-stack 1、Frontend 1、Backend/Data 1、Product Designer 0.5、QA/DevOps 0.5。基础设施 500–1,500 美元/月（10 万 MAU 量级），AI 预算 200–500 美元/月（按 1 万次抽取/月估算），不含数据授权与 Dealer 地推。</w:t>
      </w: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11.4  </w:t>
      </w:r>
      <w:r>
        <w:rPr>
          <w:rFonts w:ascii="微软雅黑" w:hAnsi="微软雅黑" w:eastAsia="微软雅黑"/>
          <w:b/>
          <w:color w:val="1B1D18"/>
          <w:sz w:val="24"/>
        </w:rPr>
        <w:t>风险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11-4 ·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803"/>
      </w:tblGrid>
      <w:tr>
        <w:trPr>
          <w:cantSplit/>
          <w:tblHeader/>
          <w:keepNext/>
        </w:trPr>
        <w:tc>
          <w:tcPr>
            <w:tcW w:type="dxa" w:w="2608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6803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缓解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先进技术学习曲线</w:t>
            </w:r>
          </w:p>
        </w:tc>
        <w:tc>
          <w:tcPr>
            <w:tcW w:type="dxa" w:w="6803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 周 spike；每项技术一个 owner；ADR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ElectricSQL 成熟度</w:t>
            </w:r>
          </w:p>
        </w:tc>
        <w:tc>
          <w:tcPr>
            <w:tcW w:type="dxa" w:w="6803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只用于公开读模型；私有数据走 API；可回退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准确率/成本</w:t>
            </w:r>
          </w:p>
        </w:tc>
        <w:tc>
          <w:tcPr>
            <w:tcW w:type="dxa" w:w="6803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结构化输出 + 人工确认 + 预算 + 评估集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Vercel/Inngest 锁定</w:t>
            </w:r>
          </w:p>
        </w:tc>
        <w:tc>
          <w:tcPr>
            <w:tcW w:type="dxa" w:w="6803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adapter；导出/回放；本地 dev 容器</w:t>
            </w:r>
          </w:p>
        </w:tc>
      </w:tr>
      <w:tr>
        <w:trPr>
          <w:cantSplit/>
          <w:keepNex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体验过度设计</w:t>
            </w:r>
          </w:p>
        </w:tc>
        <w:tc>
          <w:tcPr>
            <w:tcW w:type="dxa" w:w="6803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性能预算 + A/B + 可用性测试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排期延长</w:t>
            </w:r>
          </w:p>
        </w:tc>
        <w:tc>
          <w:tcPr>
            <w:tcW w:type="dxa" w:w="6803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P0/P1 先上线，P2/P3 可裁剪</w:t>
            </w:r>
          </w:p>
        </w:tc>
      </w:tr>
    </w:tbl>
    <w:p>
      <w:pPr>
        <w:spacing w:after="20"/>
      </w:pPr>
    </w:p>
    <w:p>
      <w:pPr>
        <w:keepNext/>
        <w:spacing w:before="360" w:after="20"/>
      </w:pPr>
      <w:r>
        <w:rPr>
          <w:rFonts w:ascii="Georgia" w:hAnsi="Georgia" w:eastAsia="Georgia"/>
          <w:b/>
          <w:color w:val="B8892E"/>
          <w:sz w:val="19"/>
        </w:rPr>
        <w:t>12</w:t>
      </w:r>
    </w:p>
    <w:p>
      <w:pPr>
        <w:keepNext/>
        <w:spacing w:before="0" w:after="40"/>
      </w:pPr>
      <w:r>
        <w:rPr>
          <w:rFonts w:ascii="宋体" w:hAnsi="宋体" w:eastAsia="宋体"/>
          <w:b/>
          <w:color w:val="1B1D18"/>
          <w:sz w:val="46"/>
        </w:rPr>
        <w:t>决策与下一步</w:t>
      </w:r>
    </w:p>
    <w:p>
      <w:pPr>
        <w:keepNext/>
        <w:spacing w:after="200"/>
        <w:pBdr>
          <w:bottom w:val="single" w:sz="6" w:space="8" w:color="B8892E"/>
        </w:pBdr>
      </w:pPr>
      <w:r>
        <w:rPr>
          <w:rFonts w:ascii="微软雅黑" w:hAnsi="微软雅黑" w:eastAsia="微软雅黑"/>
          <w:color w:val="6F7468"/>
          <w:sz w:val="19"/>
        </w:rPr>
        <w:t>先把“先进”验证成“可靠”，再全面铺开。</w:t>
      </w:r>
    </w:p>
    <w:p>
      <w:pPr>
        <w:keepNext/>
        <w:spacing w:before="80" w:after="60"/>
      </w:pPr>
      <w:r>
        <w:rPr>
          <w:rFonts w:ascii="微软雅黑" w:hAnsi="微软雅黑" w:eastAsia="微软雅黑"/>
          <w:color w:val="6F7468"/>
          <w:sz w:val="15"/>
        </w:rPr>
        <w:t>表 12-1 · ADR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576"/>
        <w:gridCol w:w="1587"/>
      </w:tblGrid>
      <w:tr>
        <w:trPr>
          <w:cantSplit/>
          <w:tblHeader/>
          <w:keepNext/>
        </w:trPr>
        <w:tc>
          <w:tcPr>
            <w:tcW w:type="dxa" w:w="124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ADR</w:t>
            </w:r>
          </w:p>
        </w:tc>
        <w:tc>
          <w:tcPr>
            <w:tcW w:type="dxa" w:w="6576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决策</w:t>
            </w:r>
          </w:p>
        </w:tc>
        <w:tc>
          <w:tcPr>
            <w:tcW w:type="dxa" w:w="1587"/>
            <w:shd w:fill="1B1D18"/>
            <w:tcMar>
              <w:top w:w="42" w:type="dxa"/>
              <w:bottom w:w="42" w:type="dxa"/>
              <w:left w:w="70" w:type="dxa"/>
              <w:right w:w="70" w:type="dxa"/>
            </w:tcMar>
            <w:tcBorders>
              <w:top w:val="single" w:sz="4" w:space="0" w:color="1B1D18"/>
              <w:left w:val="single" w:sz="4" w:space="0" w:color="1B1D18"/>
              <w:bottom w:val="single" w:sz="4" w:space="0" w:color="1B1D18"/>
              <w:right w:val="single" w:sz="4" w:space="0" w:color="1B1D18"/>
            </w:tcBorders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状态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ADR-008</w:t>
            </w:r>
          </w:p>
        </w:tc>
        <w:tc>
          <w:tcPr>
            <w:tcW w:type="dxa" w:w="6576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Inngest 替代自建 worker + 队列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Proposed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ADR-009</w:t>
            </w:r>
          </w:p>
        </w:tc>
        <w:tc>
          <w:tcPr>
            <w:tcW w:type="dxa" w:w="6576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ElectricSQL 读同步；写入服务端权威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Proposed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ADR-010</w:t>
            </w:r>
          </w:p>
        </w:tc>
        <w:tc>
          <w:tcPr>
            <w:tcW w:type="dxa" w:w="6576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AI Gateway + 工具调用；AI 不做判断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Proposed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ADR-011</w:t>
            </w:r>
          </w:p>
        </w:tc>
        <w:tc>
          <w:tcPr>
            <w:tcW w:type="dxa" w:w="6576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Base UI + Tailwind v4 + Motion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Proposed</w:t>
            </w:r>
          </w:p>
        </w:tc>
      </w:tr>
      <w:tr>
        <w:trPr>
          <w:cantSplit/>
          <w:keepNex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ADR-012</w:t>
            </w:r>
          </w:p>
        </w:tc>
        <w:tc>
          <w:tcPr>
            <w:tcW w:type="dxa" w:w="6576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20 周 / 4 FTE，含 2 周 spike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Proposed</w:t>
            </w:r>
          </w:p>
        </w:tc>
      </w:tr>
      <w:tr>
        <w:trPr>
          <w:cantSplit/>
        </w:trPr>
        <w:tc>
          <w:tcPr>
            <w:tcW w:type="dxa" w:w="124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ADR-013</w:t>
            </w:r>
          </w:p>
        </w:tc>
        <w:tc>
          <w:tcPr>
            <w:tcW w:type="dxa" w:w="6576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left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不做微前端/K8s/3D/自研 CRDT</w:t>
            </w:r>
          </w:p>
        </w:tc>
        <w:tc>
          <w:tcPr>
            <w:tcW w:type="dxa" w:w="1587"/>
            <w:tcMar>
              <w:top w:w="30" w:type="dxa"/>
              <w:bottom w:w="30" w:type="dxa"/>
              <w:left w:w="70" w:type="dxa"/>
              <w:right w:w="70" w:type="dxa"/>
            </w:tcMar>
            <w:tcBorders>
              <w:top w:val="single" w:sz="3" w:space="0" w:color="E2DCCD"/>
              <w:left w:val="single" w:sz="3" w:space="0" w:color="E2DCCD"/>
              <w:bottom w:val="single" w:sz="3" w:space="0" w:color="E2DCCD"/>
              <w:right w:val="single" w:sz="3" w:space="0" w:color="E2DCCD"/>
            </w:tcBorders>
            <w:shd w:fill="F8F5EC"/>
          </w:tcPr>
          <w:p>
            <w:pPr>
              <w:spacing w:after="0" w:line="288" w:lineRule="auto"/>
              <w:jc w:val="center"/>
            </w:pPr>
            <w:r>
              <w:rPr>
                <w:rFonts w:ascii="微软雅黑" w:hAnsi="微软雅黑" w:eastAsia="微软雅黑"/>
                <w:color w:val="1B1D18"/>
                <w:sz w:val="15"/>
              </w:rPr>
              <w:t>Accepted</w:t>
            </w:r>
          </w:p>
        </w:tc>
      </w:tr>
    </w:tbl>
    <w:p>
      <w:pPr>
        <w:spacing w:after="20"/>
      </w:pPr>
    </w:p>
    <w:p>
      <w:pPr>
        <w:keepNext/>
        <w:spacing w:before="200" w:after="40"/>
      </w:pPr>
      <w:r>
        <w:rPr>
          <w:rFonts w:ascii="Georgia" w:hAnsi="Georgia" w:eastAsia="Georgia"/>
          <w:b/>
          <w:color w:val="B8892E"/>
          <w:sz w:val="19"/>
        </w:rPr>
        <w:t xml:space="preserve">12.1  </w:t>
      </w:r>
      <w:r>
        <w:rPr>
          <w:rFonts w:ascii="微软雅黑" w:hAnsi="微软雅黑" w:eastAsia="微软雅黑"/>
          <w:b/>
          <w:color w:val="1B1D18"/>
          <w:sz w:val="24"/>
        </w:rPr>
        <w:t>需要确认的三件事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1.  </w:t>
      </w:r>
      <w:r>
        <w:rPr>
          <w:rFonts w:ascii="微软雅黑" w:hAnsi="微软雅黑" w:eastAsia="微软雅黑"/>
          <w:b w:val="0"/>
          <w:color w:val="1B1D18"/>
          <w:sz w:val="19"/>
        </w:rPr>
        <w:t>是否接受“2 周 spike + Go/No-Go”作为先进技术的准入条件？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2.  </w:t>
      </w:r>
      <w:r>
        <w:rPr>
          <w:rFonts w:ascii="微软雅黑" w:hAnsi="微软雅黑" w:eastAsia="微软雅黑"/>
          <w:b w:val="0"/>
          <w:color w:val="1B1D18"/>
          <w:sz w:val="19"/>
        </w:rPr>
        <w:t>是否接受 20 周 / 4 FTE，而不是压缩到 18 周？</w:t>
      </w:r>
    </w:p>
    <w:p>
      <w:pPr>
        <w:spacing w:after="40" w:line="348" w:lineRule="auto"/>
        <w:ind w:left="425" w:hanging="255"/>
      </w:pPr>
      <w:r>
        <w:rPr>
          <w:rFonts w:ascii="Georgia" w:hAnsi="Georgia" w:eastAsia="Georgia"/>
          <w:b/>
          <w:color w:val="B8892E"/>
          <w:sz w:val="19"/>
        </w:rPr>
        <w:t xml:space="preserve">3.  </w:t>
      </w:r>
      <w:r>
        <w:rPr>
          <w:rFonts w:ascii="微软雅黑" w:hAnsi="微软雅黑" w:eastAsia="微软雅黑"/>
          <w:b w:val="0"/>
          <w:color w:val="1B1D18"/>
          <w:sz w:val="19"/>
        </w:rPr>
        <w:t>第一个 AI 功能选“自然语言算账”还是“收据扫描”？前者更快，后者更能体现差异。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411"/>
            <w:shd w:fill="F3EBD8"/>
            <w:tcBorders>
              <w:top w:val="single" w:sz="6" w:space="0" w:color="D9C48F"/>
              <w:left w:val="single" w:sz="6" w:space="0" w:color="D9C48F"/>
              <w:bottom w:val="single" w:sz="6" w:space="0" w:color="D9C48F"/>
              <w:right w:val="single" w:sz="6" w:space="0" w:color="D9C48F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/>
                <w:color w:val="B8892E"/>
                <w:sz w:val="15"/>
              </w:rPr>
              <w:t>下一步</w:t>
            </w:r>
          </w:p>
          <w:p>
            <w:pPr>
              <w:spacing w:after="0" w:line="336" w:lineRule="auto"/>
            </w:pPr>
            <w:r>
              <w:rPr>
                <w:rFonts w:ascii="微软雅黑" w:hAnsi="微软雅黑" w:eastAsia="微软雅黑"/>
                <w:color w:val="1B1D18"/>
                <w:sz w:val="19"/>
              </w:rPr>
              <w:t>批准后先做 2 周 spike：PPR、ElectricSQL、Inngest、AI 抽取各做一个可运行切片；第 2 周末用表 11-3 做 Go/No-Go。通过则进入 P0，不通过则按回退方案继续，不把风险带进主路径。</w:t>
            </w:r>
          </w:p>
        </w:tc>
      </w:tr>
    </w:tbl>
    <w:p>
      <w:pPr>
        <w:spacing w:after="20"/>
      </w:pPr>
    </w:p>
    <w:p>
      <w:pPr>
        <w:spacing w:after="100" w:line="341" w:lineRule="auto"/>
      </w:pPr>
      <w:r>
        <w:rPr>
          <w:rFonts w:ascii="微软雅黑" w:hAnsi="微软雅黑" w:eastAsia="微软雅黑"/>
          <w:b w:val="0"/>
          <w:color w:val="1B1D18"/>
          <w:sz w:val="20"/>
        </w:rPr>
        <w:t>先进技术不是目的。让用户在曼谷的店里、在弱网的地铁里、在只会说一句英文的情况下，仍然能算清楚、拿到报价、放心离开——这才是 GoldLens 2.1 的“体验最好”。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219" w:right="1191" w:bottom="1077" w:left="1191" w:header="454" w:footer="454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color w:val="6F7468"/>
        <w:sz w:val="14"/>
      </w:rPr>
      <w:t xml:space="preserve">Proposed · for discussion   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微软雅黑" w:hAnsi="微软雅黑" w:eastAsia="微软雅黑"/>
        <w:b/>
        <w:color w:val="B8892E"/>
        <w:sz w:val="14"/>
      </w:rPr>
      <w:t>GOLDLENS 2.1  /  EXPERIENCE-FIRST ARCHITECTURE  /  2026.10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color w:val="1B1D1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GoldLens 2.1 体验优先架构方案</dc:title>
  <dc:subject>从 MVP 到生产级黄金决策平台的技术方案</dc:subject>
  <dc:creator>GoldLens Research</dc:creator>
  <cp:keywords>GoldLens, architecture, Next.js, Postgres, technical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