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Titolo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C136719" w:rsidR="00547F36" w:rsidRPr="001E6010" w:rsidRDefault="004B2EAF">
            <w:pPr>
              <w:pStyle w:val="Informazionisullostudente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5B460F2" w:rsidR="00547F36" w:rsidRPr="001E6010" w:rsidRDefault="004B2EAF">
            <w:pPr>
              <w:pStyle w:val="Informazionisullostudente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179B839" w:rsidR="00547F36" w:rsidRPr="001E6010" w:rsidRDefault="004B2EAF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7A480C7A" w:rsidR="00225A62" w:rsidRDefault="003A4A56" w:rsidP="006234C7">
      <w:pPr>
        <w:pStyle w:val="Paragrafoelenco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</w:p>
    <w:p w14:paraId="210CC2DA" w14:textId="71776110" w:rsidR="006234C7" w:rsidRDefault="00E33C3E" w:rsidP="006234C7">
      <w:pPr>
        <w:ind w:left="360"/>
        <w:rPr>
          <w:lang w:val="it-IT"/>
        </w:rPr>
      </w:pPr>
      <w:r>
        <w:rPr>
          <w:lang w:val="it-IT"/>
        </w:rPr>
        <w:t>Ado.Net è un insieme di tecnologie che consente l’accesso ai dati in due modalità.</w:t>
      </w:r>
    </w:p>
    <w:p w14:paraId="0BD38ECA" w14:textId="5F42BB0F" w:rsidR="00E33C3E" w:rsidRDefault="00E33C3E" w:rsidP="006234C7">
      <w:pPr>
        <w:ind w:left="360"/>
        <w:rPr>
          <w:lang w:val="it-IT"/>
        </w:rPr>
      </w:pPr>
      <w:r>
        <w:rPr>
          <w:lang w:val="it-IT"/>
        </w:rPr>
        <w:t>Connected Mode fornendo l’accesso di sola lettura ai dati direttamente nell’origine dati e permette di eseguire le operazioni direttamente sull’origine dati.</w:t>
      </w:r>
    </w:p>
    <w:p w14:paraId="1E0F0C56" w14:textId="61253873" w:rsidR="00E33C3E" w:rsidRPr="00087B65" w:rsidRDefault="00E33C3E" w:rsidP="006234C7">
      <w:pPr>
        <w:ind w:left="360"/>
        <w:rPr>
          <w:lang w:val="it-IT"/>
        </w:rPr>
      </w:pPr>
      <w:r>
        <w:rPr>
          <w:lang w:val="it-IT"/>
        </w:rPr>
        <w:t>Disconnected Mode consente di recuperare e manipolare i dati in locale e successivamente riconciliarli con l’origine dati.</w:t>
      </w:r>
    </w:p>
    <w:p w14:paraId="5055FDB6" w14:textId="6BF38FEE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</w:p>
    <w:p w14:paraId="59AFA165" w14:textId="6B2ADB93" w:rsidR="006234C7" w:rsidRPr="00087B65" w:rsidRDefault="00E33C3E" w:rsidP="00DE29C3">
      <w:pPr>
        <w:rPr>
          <w:lang w:val="it-IT"/>
        </w:rPr>
      </w:pPr>
      <w:r w:rsidRPr="00E33C3E">
        <w:rPr>
          <w:lang w:val="it-IT"/>
        </w:rPr>
        <w:t>I metodi di esecuzione d</w:t>
      </w:r>
      <w:r>
        <w:rPr>
          <w:lang w:val="it-IT"/>
        </w:rPr>
        <w:t>ella classe DbCommand disponibili sono il DataReader, per la lettura dei record, l’ExecuteNonQuery per l’esecuzioni di Insert ad esempio, e il command Scalar per il recupero di un solo valore dalla select da eseguire.</w:t>
      </w:r>
    </w:p>
    <w:p w14:paraId="33DA965A" w14:textId="725E9B2B" w:rsidR="006234C7" w:rsidRDefault="004A2BF1" w:rsidP="006234C7">
      <w:pPr>
        <w:pStyle w:val="Paragrafoelenco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</w:p>
    <w:p w14:paraId="43F02FB9" w14:textId="37BB24FE" w:rsidR="00E33C3E" w:rsidRDefault="00E33C3E" w:rsidP="00E33C3E">
      <w:pPr>
        <w:ind w:left="360"/>
        <w:rPr>
          <w:lang w:val="it-IT"/>
        </w:rPr>
      </w:pPr>
      <w:r>
        <w:rPr>
          <w:lang w:val="it-IT"/>
        </w:rPr>
        <w:t>La classe DataAdapter viene utilizzata nella modalità disconnessa e si pone da ponte tra l’oggetto DataSet (che raccoglie il DB in locale) e l’origine dei dati.</w:t>
      </w:r>
    </w:p>
    <w:p w14:paraId="2186F37A" w14:textId="2809CAEB" w:rsidR="00E33C3E" w:rsidRPr="00087B65" w:rsidRDefault="00E33C3E" w:rsidP="00E33C3E">
      <w:pPr>
        <w:ind w:left="360"/>
        <w:rPr>
          <w:lang w:val="it-IT"/>
        </w:rPr>
      </w:pPr>
      <w:r>
        <w:rPr>
          <w:lang w:val="it-IT"/>
        </w:rPr>
        <w:t xml:space="preserve">Ed è la classe che esegue i comandi SQL sull’origine dei dati e riconcilia le </w:t>
      </w:r>
      <w:r w:rsidR="00E964C6">
        <w:rPr>
          <w:lang w:val="it-IT"/>
        </w:rPr>
        <w:t>modifiche eseguite nel DataSet</w:t>
      </w:r>
      <w:r>
        <w:rPr>
          <w:lang w:val="it-IT"/>
        </w:rPr>
        <w:t>.</w:t>
      </w:r>
    </w:p>
    <w:p w14:paraId="46A7BA13" w14:textId="468B5A8F" w:rsidR="006234C7" w:rsidRDefault="004A2BF1" w:rsidP="006234C7">
      <w:pPr>
        <w:pStyle w:val="Paragrafoelenco"/>
        <w:numPr>
          <w:ilvl w:val="0"/>
          <w:numId w:val="19"/>
        </w:numPr>
      </w:pPr>
      <w:r>
        <w:t>Come è possibile andare a definire il modello dati in Entity Framework?</w:t>
      </w:r>
    </w:p>
    <w:p w14:paraId="64E0EB9C" w14:textId="20E22DDC" w:rsidR="006234C7" w:rsidRDefault="00E964C6" w:rsidP="006234C7">
      <w:pPr>
        <w:ind w:left="360"/>
        <w:rPr>
          <w:lang w:val="it-IT"/>
        </w:rPr>
      </w:pPr>
      <w:r>
        <w:rPr>
          <w:lang w:val="it-IT"/>
        </w:rPr>
        <w:t>È possibile definire il modello dati in Entity Framework perché esso è un ORM, cioè una tecnica che converte i dati di un database in oggetti di un’applicazione object-oriented, e viceversa, mediante mapping e fetching.</w:t>
      </w:r>
    </w:p>
    <w:p w14:paraId="200601DA" w14:textId="6D09D42A" w:rsidR="00E964C6" w:rsidRDefault="00E964C6" w:rsidP="006234C7">
      <w:pPr>
        <w:ind w:left="360"/>
        <w:rPr>
          <w:lang w:val="it-IT"/>
        </w:rPr>
      </w:pPr>
      <w:r>
        <w:rPr>
          <w:lang w:val="it-IT"/>
        </w:rPr>
        <w:t>Esistono diversi appr</w:t>
      </w:r>
      <w:r w:rsidR="00DE29C3">
        <w:rPr>
          <w:lang w:val="it-IT"/>
        </w:rPr>
        <w:t>occi:</w:t>
      </w:r>
    </w:p>
    <w:p w14:paraId="21BF9507" w14:textId="62A2637D" w:rsidR="00DE29C3" w:rsidRPr="00DE29C3" w:rsidRDefault="00DE29C3" w:rsidP="00DE29C3">
      <w:pPr>
        <w:ind w:left="360"/>
        <w:rPr>
          <w:lang w:val="it-IT"/>
        </w:rPr>
      </w:pPr>
      <w:r w:rsidRPr="00DE29C3">
        <w:rPr>
          <w:lang w:val="it-IT"/>
        </w:rPr>
        <w:t xml:space="preserve">Database-First </w:t>
      </w:r>
      <w:r>
        <w:rPr>
          <w:lang w:val="it-IT"/>
        </w:rPr>
        <w:t xml:space="preserve">nel quale </w:t>
      </w:r>
      <w:r w:rsidRPr="00DE29C3">
        <w:rPr>
          <w:lang w:val="it-IT"/>
        </w:rPr>
        <w:t xml:space="preserve">il modello viene </w:t>
      </w:r>
      <w:r>
        <w:rPr>
          <w:lang w:val="it-IT"/>
        </w:rPr>
        <w:t>importato</w:t>
      </w:r>
      <w:r w:rsidRPr="00DE29C3">
        <w:rPr>
          <w:lang w:val="it-IT"/>
        </w:rPr>
        <w:t xml:space="preserve"> direttamente dal database</w:t>
      </w:r>
      <w:r>
        <w:rPr>
          <w:lang w:val="it-IT"/>
        </w:rPr>
        <w:t>.</w:t>
      </w:r>
    </w:p>
    <w:p w14:paraId="4DC4E55D" w14:textId="33954D0D" w:rsidR="00DE29C3" w:rsidRPr="00DE29C3" w:rsidRDefault="00DE29C3" w:rsidP="00DE29C3">
      <w:pPr>
        <w:ind w:left="360"/>
        <w:rPr>
          <w:lang w:val="it-IT"/>
        </w:rPr>
      </w:pPr>
      <w:r w:rsidRPr="00DE29C3">
        <w:rPr>
          <w:lang w:val="it-IT"/>
        </w:rPr>
        <w:t xml:space="preserve">Model-First </w:t>
      </w:r>
      <w:r>
        <w:rPr>
          <w:lang w:val="it-IT"/>
        </w:rPr>
        <w:t>nel quale il modello viene create dal designer di Visual Studio.</w:t>
      </w:r>
    </w:p>
    <w:p w14:paraId="5736B72E" w14:textId="3D441A25" w:rsidR="00DE29C3" w:rsidRPr="003A4A56" w:rsidRDefault="00DE29C3" w:rsidP="006234C7">
      <w:pPr>
        <w:ind w:left="360"/>
        <w:rPr>
          <w:lang w:val="it-IT"/>
        </w:rPr>
      </w:pPr>
      <w:r w:rsidRPr="00DE29C3">
        <w:rPr>
          <w:lang w:val="it-IT"/>
        </w:rPr>
        <w:t xml:space="preserve">Code-First </w:t>
      </w:r>
      <w:r>
        <w:rPr>
          <w:lang w:val="it-IT"/>
        </w:rPr>
        <w:t xml:space="preserve">nel quale il </w:t>
      </w:r>
      <w:r w:rsidRPr="00DE29C3">
        <w:rPr>
          <w:lang w:val="it-IT"/>
        </w:rPr>
        <w:t xml:space="preserve">modello </w:t>
      </w:r>
      <w:r>
        <w:rPr>
          <w:lang w:val="it-IT"/>
        </w:rPr>
        <w:t>viene</w:t>
      </w:r>
      <w:r w:rsidRPr="00DE29C3">
        <w:rPr>
          <w:lang w:val="it-IT"/>
        </w:rPr>
        <w:t xml:space="preserve"> creato dal codice</w:t>
      </w:r>
      <w:r>
        <w:rPr>
          <w:lang w:val="it-IT"/>
        </w:rPr>
        <w:t>.</w:t>
      </w:r>
    </w:p>
    <w:p w14:paraId="16C10906" w14:textId="3F3050F2" w:rsidR="00E964C6" w:rsidRDefault="004A2BF1" w:rsidP="00E964C6">
      <w:pPr>
        <w:pStyle w:val="Paragrafoelenco"/>
        <w:numPr>
          <w:ilvl w:val="0"/>
          <w:numId w:val="19"/>
        </w:numPr>
      </w:pPr>
      <w:r>
        <w:t>Descrivere l’utilizzo delle Migration e i vantaggi che ne derivano</w:t>
      </w:r>
    </w:p>
    <w:p w14:paraId="426AD02C" w14:textId="721EB2F7" w:rsidR="00E964C6" w:rsidRPr="00E964C6" w:rsidRDefault="00E964C6" w:rsidP="00E964C6">
      <w:pPr>
        <w:rPr>
          <w:lang w:val="it-IT"/>
        </w:rPr>
      </w:pPr>
      <w:r w:rsidRPr="00E964C6">
        <w:rPr>
          <w:lang w:val="it-IT"/>
        </w:rPr>
        <w:t>Le Migration traducono il c</w:t>
      </w:r>
      <w:r>
        <w:rPr>
          <w:lang w:val="it-IT"/>
        </w:rPr>
        <w:t>odice in sql per realizzare il Database sul server scelto. Inoltre memorizzano i vari aggiornamenti apportati alla struttura del database in specifiche classi facilmente consultabili.</w:t>
      </w: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Paragrafoelenco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Paragrafoelenco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Approvare le Spese esistenti (i</w:t>
      </w:r>
      <w:r>
        <w:rPr>
          <w:rFonts w:cstheme="minorHAnsi"/>
          <w:sz w:val="20"/>
          <w:szCs w:val="20"/>
        </w:rPr>
        <w:t xml:space="preserve">mpostare il campo </w:t>
      </w:r>
      <w:r w:rsidRPr="00B50F28">
        <w:rPr>
          <w:rFonts w:cstheme="minorHAnsi"/>
          <w:i/>
          <w:iCs/>
          <w:sz w:val="20"/>
          <w:szCs w:val="20"/>
        </w:rPr>
        <w:t>Approvato</w:t>
      </w:r>
      <w:r>
        <w:rPr>
          <w:rFonts w:cstheme="minorHAnsi"/>
          <w:sz w:val="20"/>
          <w:szCs w:val="20"/>
        </w:rPr>
        <w:t>)</w:t>
      </w:r>
    </w:p>
    <w:p w14:paraId="494AAA6A" w14:textId="7100E130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Cancellare </w:t>
      </w:r>
      <w:r>
        <w:rPr>
          <w:rFonts w:cstheme="minorHAnsi"/>
          <w:sz w:val="20"/>
          <w:szCs w:val="20"/>
          <w:lang w:val="en-US"/>
        </w:rPr>
        <w:t xml:space="preserve">le </w:t>
      </w:r>
      <w:r w:rsidRPr="004A2BF1">
        <w:rPr>
          <w:rFonts w:cstheme="minorHAnsi"/>
          <w:sz w:val="20"/>
          <w:szCs w:val="20"/>
          <w:lang w:val="en-US"/>
        </w:rPr>
        <w:t>Spese esistenti</w:t>
      </w:r>
    </w:p>
    <w:p w14:paraId="50788AC9" w14:textId="77777777" w:rsidR="004A2BF1" w:rsidRPr="004A2BF1" w:rsidRDefault="004A2BF1" w:rsidP="004A2BF1">
      <w:pPr>
        <w:pStyle w:val="Paragrafoelenco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Paragrafoelenco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Paragrafoelenco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Paragrafoelenco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Paragrafoelenco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Paragrafoelenco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Paragrafoelenco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E36FB" w14:textId="77777777" w:rsidR="008F6E87" w:rsidRDefault="008F6E87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CC09E57" w14:textId="77777777" w:rsidR="008F6E87" w:rsidRDefault="008F6E87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427F" w14:textId="77777777" w:rsidR="00DE29C3" w:rsidRDefault="00DE29C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Pidipagina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Pidipagina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1FE45" w14:textId="77777777" w:rsidR="00DE29C3" w:rsidRDefault="00DE29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7D3B0" w14:textId="77777777" w:rsidR="008F6E87" w:rsidRDefault="008F6E87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D2F3908" w14:textId="77777777" w:rsidR="008F6E87" w:rsidRDefault="008F6E87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E81A5" w14:textId="77777777" w:rsidR="00DE29C3" w:rsidRDefault="00DE29C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AEF86" w14:textId="77777777" w:rsidR="00DE29C3" w:rsidRDefault="00DE29C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C1066" w14:textId="77777777" w:rsidR="00DE29C3" w:rsidRDefault="00DE29C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B0244"/>
    <w:rsid w:val="002B51AD"/>
    <w:rsid w:val="002F2AFA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B2EAF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E3CB3"/>
    <w:rsid w:val="008120C2"/>
    <w:rsid w:val="008353A9"/>
    <w:rsid w:val="0084271B"/>
    <w:rsid w:val="0084793A"/>
    <w:rsid w:val="008739A2"/>
    <w:rsid w:val="008A5436"/>
    <w:rsid w:val="008E653D"/>
    <w:rsid w:val="008F6E87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E29C3"/>
    <w:rsid w:val="00DF389B"/>
    <w:rsid w:val="00E0358B"/>
    <w:rsid w:val="00E04A03"/>
    <w:rsid w:val="00E2077C"/>
    <w:rsid w:val="00E33C3E"/>
    <w:rsid w:val="00E56692"/>
    <w:rsid w:val="00E64138"/>
    <w:rsid w:val="00E66EA4"/>
    <w:rsid w:val="00E7015D"/>
    <w:rsid w:val="00E81FF4"/>
    <w:rsid w:val="00E91E65"/>
    <w:rsid w:val="00E94E57"/>
    <w:rsid w:val="00E964C6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694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28</cp:revision>
  <cp:lastPrinted>2004-01-22T16:32:00Z</cp:lastPrinted>
  <dcterms:created xsi:type="dcterms:W3CDTF">2020-11-06T14:31:00Z</dcterms:created>
  <dcterms:modified xsi:type="dcterms:W3CDTF">2021-04-09T10:40:00Z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