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pPr>
      <w:r>
        <w:rPr>
          <w:b/>
          <w:color w:val="5A6470"/>
          <w:sz w:val="20"/>
        </w:rPr>
        <w:t>PRODUCT REQUIREMENTS DOCUMENT</w:t>
      </w:r>
    </w:p>
    <w:p>
      <w:pPr>
        <w:spacing w:after="0"/>
      </w:pPr>
      <w:r>
        <w:rPr>
          <w:b/>
          <w:color w:val="0F4C5C"/>
          <w:sz w:val="60"/>
        </w:rPr>
        <w:t>ESG Profile Platform</w:t>
      </w:r>
    </w:p>
    <w:p>
      <w:pPr>
        <w:spacing w:after="360"/>
        <w:pBdr>
          <w:bottom w:val="single" w:sz="8" w:space="4" w:color="BFD3D8"/>
        </w:pBdr>
      </w:pPr>
      <w:r>
        <w:rPr>
          <w:color w:val="5A6470"/>
          <w:sz w:val="26"/>
        </w:rPr>
        <w:t>Turning published sustainability disclosures into profiles people actually use</w:t>
      </w:r>
    </w:p>
    <w:p>
      <w:pPr>
        <w:spacing w:after="60"/>
      </w:pPr>
      <w:r>
        <w:rPr>
          <w:b/>
          <w:color w:val="5A6470"/>
          <w:sz w:val="19"/>
        </w:rPr>
        <w:t xml:space="preserve">Version   </w:t>
      </w:r>
      <w:r>
        <w:rPr>
          <w:color w:val="1A1A1A"/>
          <w:sz w:val="19"/>
        </w:rPr>
        <w:t>5.0</w:t>
      </w:r>
    </w:p>
    <w:p>
      <w:pPr>
        <w:spacing w:after="60"/>
      </w:pPr>
      <w:r>
        <w:rPr>
          <w:b/>
          <w:color w:val="5A6470"/>
          <w:sz w:val="19"/>
        </w:rPr>
        <w:t xml:space="preserve">Date   </w:t>
      </w:r>
      <w:r>
        <w:rPr>
          <w:color w:val="1A1A1A"/>
          <w:sz w:val="19"/>
        </w:rPr>
        <w:t>9 September 2026</w:t>
      </w:r>
    </w:p>
    <w:p>
      <w:pPr>
        <w:spacing w:after="60"/>
      </w:pPr>
      <w:r>
        <w:rPr>
          <w:b/>
          <w:color w:val="5A6470"/>
          <w:sz w:val="19"/>
        </w:rPr>
        <w:t xml:space="preserve">Status   </w:t>
      </w:r>
      <w:r>
        <w:rPr>
          <w:color w:val="1A1A1A"/>
          <w:sz w:val="19"/>
        </w:rPr>
        <w:t>Phase 1 built; Phase 3 prototype working with a known defect</w:t>
      </w:r>
    </w:p>
    <w:p>
      <w:pPr>
        <w:spacing w:after="60"/>
      </w:pPr>
      <w:r>
        <w:rPr>
          <w:b/>
          <w:color w:val="5A6470"/>
          <w:sz w:val="19"/>
        </w:rPr>
        <w:t xml:space="preserve">Author   </w:t>
      </w:r>
      <w:r>
        <w:rPr>
          <w:color w:val="1A1A1A"/>
          <w:sz w:val="19"/>
        </w:rPr>
        <w:t>Debraj</w:t>
      </w:r>
    </w:p>
    <w:p>
      <w:pPr>
        <w:spacing w:after="60"/>
      </w:pPr>
      <w:r>
        <w:rPr>
          <w:b/>
          <w:color w:val="5A6470"/>
          <w:sz w:val="19"/>
        </w:rPr>
        <w:t xml:space="preserve">Companion documents   </w:t>
      </w:r>
      <w:r>
        <w:rPr>
          <w:color w:val="1A1A1A"/>
          <w:sz w:val="19"/>
        </w:rPr>
        <w:t>product-spec.md, CHANGELOG.md, phase3-spike-brief.md</w:t>
      </w:r>
    </w:p>
    <w:p>
      <w:pPr>
        <w:spacing w:before="480"/>
      </w:pPr>
      <w:r>
        <w:rPr>
          <w:i/>
          <w:color w:val="5A6470"/>
          <w:sz w:val="18"/>
        </w:rPr>
        <w:t>This document describes a product vision and roadmap. Phase 1 is built and working; Phases 2 to 4 are proposals, not commitments. Figures describing the regulatory landscape were verified in August 2026 and are sourced at the end of the document.</w:t>
      </w:r>
    </w:p>
    <w:p>
      <w:r>
        <w:br w:type="page"/>
      </w:r>
    </w:p>
    <w:p>
      <w:pPr>
        <w:keepNext/>
        <w:spacing w:before="400" w:after="40"/>
        <w:pBdr>
          <w:bottom w:val="single" w:sz="8" w:space="4" w:color="BFD3D8"/>
        </w:pBdr>
      </w:pPr>
      <w:r>
        <w:rPr>
          <w:b/>
          <w:color w:val="0F4C5C"/>
          <w:sz w:val="30"/>
        </w:rPr>
        <w:t>1.  Executive Summary</w:t>
      </w:r>
    </w:p>
    <w:p>
      <w:pPr>
        <w:spacing w:after="160"/>
      </w:pPr>
      <w:r>
        <w:rPr>
          <w:i w:val="0"/>
          <w:color w:val="1A1A1A"/>
          <w:sz w:val="21"/>
        </w:rPr>
        <w:t>Around a thousand Indian listed companies now publish detailed sustainability disclosures each year under SEBI's Business Responsibility and Sustainability Reporting (BRSR) framework. Almost all of them publish it the same way: as a section buried inside a 200 to 400 page annual report PDF. The data is standardised, increasingly assured, and expensive to produce — and it is then presented in the least usable format available.</w:t>
      </w:r>
    </w:p>
    <w:p>
      <w:pPr>
        <w:spacing w:after="160"/>
      </w:pPr>
      <w:r>
        <w:rPr>
          <w:i w:val="0"/>
          <w:color w:val="1A1A1A"/>
          <w:sz w:val="21"/>
        </w:rPr>
        <w:t>The ESG Profile Platform turns that published disclosure into an interactive company profile. Every disclosure becomes a filterable, searchable row carrying the reported figures, the themes and keywords that classify it, and a link back to the exact source document and page. An investor looking for Scope 3 emissions finds it in seconds rather than minutes. The company gets reporting work it has already paid for presented as something a stakeholder will actually read.</w:t>
      </w:r>
    </w:p>
    <w:p>
      <w:pPr>
        <w:spacing w:after="160"/>
      </w:pPr>
      <w:r>
        <w:rPr>
          <w:i w:val="0"/>
          <w:color w:val="1A1A1A"/>
          <w:sz w:val="21"/>
        </w:rPr>
        <w:t>This document sets out the vision and a four-phase roadmap. Phase 1 — a single-company profile viewer — is built and has been demonstrated in a browser: 663 real disclosures, filtering by theme, keyword and reporting framework, trend charts, and export, with no server and no dependencies. Every disclosure now also carries its BRSR indicator number and the GRI disclosures it maps to, each traceable to a published source. Phases 2 to 4 extend to multiple companies, assisted extraction directly from a published report, and peer benchmarking.</w:t>
        <w:br/>
      </w:r>
    </w:p>
    <w:p>
      <w:pPr>
        <w:spacing w:after="160"/>
      </w:pPr>
      <w:r>
        <w:rPr>
          <w:i w:val="0"/>
          <w:color w:val="1A1A1A"/>
          <w:sz w:val="21"/>
        </w:rPr>
        <w:t>Phase 3 — the original idea, in which a company's report is turned into a profile without manual keying — now has a working prototype. It reads a filed report entirely in the browser with no AI model, no network and therefore no cost per report, and it will not let a profile be generated until a human has approved or excluded every indicator. What it has not yet had is a measurement: nobody has run it against a report whose correct answers are known. That single number decides whether a client can check their own profile or whether every one must pass through the consultant, and with it the economics of the whole product.</w:t>
      </w:r>
    </w:p>
    <w:p>
      <w:pPr>
        <w:spacing w:after="160"/>
      </w:pPr>
      <w:r>
        <w:rPr>
          <w:b/>
          <w:i w:val="0"/>
          <w:color w:val="1A1A1A"/>
          <w:sz w:val="21"/>
        </w:rPr>
        <w:t xml:space="preserve">The largest open question is not technical. </w:t>
      </w:r>
      <w:r>
        <w:rPr>
          <w:b w:val="0"/>
          <w:i w:val="0"/>
          <w:color w:val="1A1A1A"/>
          <w:sz w:val="21"/>
        </w:rPr>
        <w:t>An established incumbent already publishes ESG profiles for Indian listed companies, and the pilot dataset used to build Phase 1 came from that incumbent's platform. Differentiation has to be earned and is currently unproven. Section 8 addresses this directly rather than assuming it away.</w:t>
      </w:r>
    </w:p>
    <w:p>
      <w:pPr>
        <w:keepNext/>
        <w:pageBreakBefore w:val="0"/>
        <w:spacing w:before="400" w:after="40"/>
        <w:pBdr>
          <w:bottom w:val="single" w:sz="8" w:space="4" w:color="BFD3D8"/>
        </w:pBdr>
      </w:pPr>
      <w:r>
        <w:rPr>
          <w:b/>
          <w:color w:val="0F4C5C"/>
          <w:sz w:val="30"/>
        </w:rPr>
        <w:t>2.  The Problem</w:t>
      </w:r>
    </w:p>
    <w:p>
      <w:pPr>
        <w:spacing w:after="160"/>
      </w:pPr>
      <w:r>
        <w:rPr>
          <w:i w:val="0"/>
          <w:color w:val="1A1A1A"/>
          <w:sz w:val="21"/>
        </w:rPr>
        <w:t>Sustainability disclosure in India has solved production and ignored consumption. Enormous effort goes into producing the report; almost none goes into making it retrievable.</w:t>
      </w:r>
    </w:p>
    <w:p>
      <w:pPr>
        <w:keepNext/>
        <w:spacing w:before="240" w:after="60"/>
      </w:pPr>
      <w:r>
        <w:rPr>
          <w:b/>
          <w:color w:val="1A1A1A"/>
          <w:sz w:val="23"/>
        </w:rPr>
        <w:t>The report is not the format the reader wants</w:t>
      </w:r>
    </w:p>
    <w:p>
      <w:pPr>
        <w:spacing w:after="160"/>
      </w:pPr>
      <w:r>
        <w:rPr>
          <w:i w:val="0"/>
          <w:color w:val="1A1A1A"/>
          <w:sz w:val="21"/>
        </w:rPr>
        <w:t>A BRSR sits inside the integrated annual report as continuous prose broken by tables. The people who need it — institutional investors, ESG rating analysts, lenders running sustainability-linked loan covenants, procurement teams screening suppliers, prospective employees — almost never want to read it. They want a specific data point, and they want to know where it came from.</w:t>
      </w:r>
    </w:p>
    <w:p>
      <w:pPr>
        <w:keepNext/>
        <w:spacing w:before="240" w:after="60"/>
      </w:pPr>
      <w:r>
        <w:rPr>
          <w:b/>
          <w:color w:val="1A1A1A"/>
          <w:sz w:val="23"/>
        </w:rPr>
        <w:t>What that looks like in practice</w:t>
      </w:r>
    </w:p>
    <w:p>
      <w:pPr>
        <w:spacing w:after="160"/>
      </w:pPr>
      <w:r>
        <w:rPr>
          <w:i w:val="0"/>
          <w:color w:val="1A1A1A"/>
          <w:sz w:val="21"/>
        </w:rPr>
        <w:t>The pilot dataset for Phase 1 is one mid-cap manufacturer's full ESG profile. Measured directly from the source export, it contains:</w:t>
      </w:r>
    </w:p>
    <w:p>
      <w:pPr>
        <w:pStyle w:val="ListBullet"/>
        <w:spacing w:after="80"/>
        <w:ind w:left="340"/>
      </w:pPr>
      <w:r>
        <w:rPr>
          <w:b/>
          <w:color w:val="1A1A1A"/>
          <w:sz w:val="21"/>
        </w:rPr>
        <w:t xml:space="preserve">663 </w:t>
      </w:r>
      <w:r>
        <w:rPr>
          <w:color w:val="1A1A1A"/>
          <w:sz w:val="21"/>
        </w:rPr>
        <w:t>discrete disclosures, spanning 28 categories from board composition to water withdrawal</w:t>
      </w:r>
    </w:p>
    <w:p>
      <w:pPr>
        <w:pStyle w:val="ListBullet"/>
        <w:spacing w:after="80"/>
        <w:ind w:left="340"/>
      </w:pPr>
      <w:r>
        <w:rPr>
          <w:b/>
          <w:color w:val="1A1A1A"/>
          <w:sz w:val="21"/>
        </w:rPr>
        <w:t xml:space="preserve">96 </w:t>
      </w:r>
      <w:r>
        <w:rPr>
          <w:color w:val="1A1A1A"/>
          <w:sz w:val="21"/>
        </w:rPr>
        <w:t>of those disclosures carry reported figures — many with three years of history, so the trend already exists in the data and is simply never shown as one</w:t>
      </w:r>
    </w:p>
    <w:p>
      <w:pPr>
        <w:pStyle w:val="ListBullet"/>
        <w:spacing w:after="80"/>
        <w:ind w:left="340"/>
      </w:pPr>
      <w:r>
        <w:rPr>
          <w:b/>
          <w:color w:val="1A1A1A"/>
          <w:sz w:val="21"/>
        </w:rPr>
        <w:t xml:space="preserve">912 </w:t>
      </w:r>
      <w:r>
        <w:rPr>
          <w:color w:val="1A1A1A"/>
          <w:sz w:val="21"/>
        </w:rPr>
        <w:t>links to source documents, pinned to specific pages of the annual report and policy PDFs</w:t>
      </w:r>
    </w:p>
    <w:p>
      <w:pPr>
        <w:pStyle w:val="ListBullet"/>
        <w:spacing w:after="80"/>
        <w:ind w:left="340"/>
      </w:pPr>
      <w:r>
        <w:rPr>
          <w:b/>
          <w:color w:val="1A1A1A"/>
          <w:sz w:val="21"/>
        </w:rPr>
        <w:t xml:space="preserve">3,676 </w:t>
      </w:r>
      <w:r>
        <w:rPr>
          <w:color w:val="1A1A1A"/>
          <w:sz w:val="21"/>
        </w:rPr>
        <w:t>characters of narrative in the longest single disclosure; the median is 423</w:t>
      </w:r>
    </w:p>
    <w:p>
      <w:pPr>
        <w:spacing w:after="200"/>
      </w:pPr>
      <w:r>
        <w:rPr>
          <w:i w:val="0"/>
          <w:color w:val="1A1A1A"/>
          <w:sz w:val="21"/>
        </w:rPr>
        <w:t>All of it is genuinely published, genuinely assured, and effectively unsearchable. A reader wanting the Scope 1, 2 and 3 breakdown must know it exists, know roughly where to look, and then read around it in a 300-page document.</w:t>
      </w:r>
    </w:p>
    <w:p>
      <w:pPr>
        <w:keepNext/>
        <w:spacing w:before="240" w:after="60"/>
      </w:pPr>
      <w:r>
        <w:rPr>
          <w:b/>
          <w:color w:val="1A1A1A"/>
          <w:sz w:val="23"/>
        </w:rPr>
        <w:t>Why companies should care</w:t>
      </w:r>
    </w:p>
    <w:p>
      <w:pPr>
        <w:spacing w:after="160"/>
      </w:pPr>
      <w:r>
        <w:rPr>
          <w:i w:val="0"/>
          <w:color w:val="1A1A1A"/>
          <w:sz w:val="21"/>
        </w:rPr>
        <w:t>A disclosure nobody can find scores as a disclosure nobody made. ESG rating agencies work to deadlines and score what they can locate; analysts asking the investor relations team for a figure that was published six months ago is a cost the company absorbs quietly, over and over. The reporting spend is already sunk. The presentation layer is where the return on it is either captured or lost.</w:t>
      </w:r>
    </w:p>
    <w:p>
      <w:pPr>
        <w:keepNext/>
        <w:pageBreakBefore w:val="0"/>
        <w:spacing w:before="400" w:after="40"/>
        <w:pBdr>
          <w:bottom w:val="single" w:sz="8" w:space="4" w:color="BFD3D8"/>
        </w:pBdr>
      </w:pPr>
      <w:r>
        <w:rPr>
          <w:b/>
          <w:color w:val="0F4C5C"/>
          <w:sz w:val="30"/>
        </w:rPr>
        <w:t>3.  Market and Regulatory Context</w:t>
      </w:r>
    </w:p>
    <w:p>
      <w:pPr>
        <w:spacing w:after="160"/>
      </w:pPr>
      <w:r>
        <w:rPr>
          <w:i w:val="0"/>
          <w:color w:val="1A1A1A"/>
          <w:sz w:val="21"/>
        </w:rPr>
        <w:t>The regulatory direction creates a growing, standardising, annually refreshed body of disclosure — published, in almost every case, as a PDF.</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1928"/>
            <w:shd w:val="clear" w:color="auto" w:fill="0F4C5C"/>
          </w:tcPr>
          <w:p>
            <w:pPr>
              <w:spacing w:after="0" w:before="0"/>
            </w:pPr>
            <w:r/>
            <w:r>
              <w:rPr>
                <w:b/>
                <w:color w:val="FFFFFF"/>
                <w:sz w:val="19"/>
              </w:rPr>
              <w:t>Driver</w:t>
            </w:r>
          </w:p>
        </w:tc>
        <w:tc>
          <w:tcPr>
            <w:tcW w:type="dxa" w:w="3912"/>
            <w:shd w:val="clear" w:color="auto" w:fill="0F4C5C"/>
          </w:tcPr>
          <w:p>
            <w:pPr>
              <w:spacing w:after="0" w:before="0"/>
            </w:pPr>
            <w:r/>
            <w:r>
              <w:rPr>
                <w:b/>
                <w:color w:val="FFFFFF"/>
                <w:sz w:val="19"/>
              </w:rPr>
              <w:t>Position as at August 2026</w:t>
            </w:r>
          </w:p>
        </w:tc>
        <w:tc>
          <w:tcPr>
            <w:tcW w:type="dxa" w:w="3572"/>
            <w:shd w:val="clear" w:color="auto" w:fill="0F4C5C"/>
          </w:tcPr>
          <w:p>
            <w:pPr>
              <w:spacing w:after="0" w:before="0"/>
            </w:pPr>
            <w:r/>
            <w:r>
              <w:rPr>
                <w:b/>
                <w:color w:val="FFFFFF"/>
                <w:sz w:val="19"/>
              </w:rPr>
              <w:t>Effect on this product</w:t>
            </w:r>
          </w:p>
        </w:tc>
      </w:tr>
      <w:tr>
        <w:trPr>
          <w:cantSplit/>
        </w:trPr>
        <w:tc>
          <w:tcPr>
            <w:tcW w:type="dxa" w:w="1928"/>
          </w:tcPr>
          <w:p>
            <w:pPr>
              <w:spacing w:after="0" w:before="0"/>
            </w:pPr>
            <w:r/>
            <w:r>
              <w:rPr>
                <w:color w:val="1A1A1A"/>
                <w:sz w:val="19"/>
              </w:rPr>
              <w:t>BRSR filing obligation</w:t>
            </w:r>
          </w:p>
        </w:tc>
        <w:tc>
          <w:tcPr>
            <w:tcW w:type="dxa" w:w="3912"/>
          </w:tcPr>
          <w:p>
            <w:pPr>
              <w:spacing w:after="0" w:before="0"/>
            </w:pPr>
            <w:r/>
            <w:r>
              <w:rPr>
                <w:color w:val="1A1A1A"/>
                <w:sz w:val="19"/>
              </w:rPr>
              <w:t>SEBI's LODR Regulations require the top 1,000 listed entities by market capitalisation to file a BRSR.</w:t>
            </w:r>
          </w:p>
        </w:tc>
        <w:tc>
          <w:tcPr>
            <w:tcW w:type="dxa" w:w="3572"/>
          </w:tcPr>
          <w:p>
            <w:pPr>
              <w:spacing w:after="0" w:before="0"/>
            </w:pPr>
            <w:r/>
            <w:r>
              <w:rPr>
                <w:color w:val="1A1A1A"/>
                <w:sz w:val="19"/>
              </w:rPr>
              <w:t>A defined, addressable universe of roughly 1,000 companies, refreshed annually.</w:t>
            </w:r>
          </w:p>
        </w:tc>
      </w:tr>
      <w:tr>
        <w:trPr>
          <w:cantSplit/>
        </w:trPr>
        <w:tc>
          <w:tcPr>
            <w:tcW w:type="dxa" w:w="1928"/>
            <w:shd w:val="clear" w:color="auto" w:fill="F1F5F6"/>
          </w:tcPr>
          <w:p>
            <w:pPr>
              <w:spacing w:after="0" w:before="0"/>
            </w:pPr>
            <w:r/>
            <w:r>
              <w:rPr>
                <w:color w:val="1A1A1A"/>
                <w:sz w:val="19"/>
              </w:rPr>
              <w:t>BRSR Core assurance glide path</w:t>
            </w:r>
          </w:p>
        </w:tc>
        <w:tc>
          <w:tcPr>
            <w:tcW w:type="dxa" w:w="3912"/>
            <w:shd w:val="clear" w:color="auto" w:fill="F1F5F6"/>
          </w:tcPr>
          <w:p>
            <w:pPr>
              <w:spacing w:after="0" w:before="0"/>
            </w:pPr>
            <w:r/>
            <w:r>
              <w:rPr>
                <w:color w:val="1A1A1A"/>
                <w:sz w:val="19"/>
              </w:rPr>
              <w:t>Phased: top 150 from FY2023-24, top 250 from FY2024-25, top 500 from FY2025-26, top 1,000 from FY2026-27.</w:t>
            </w:r>
          </w:p>
        </w:tc>
        <w:tc>
          <w:tcPr>
            <w:tcW w:type="dxa" w:w="3572"/>
            <w:shd w:val="clear" w:color="auto" w:fill="F1F5F6"/>
          </w:tcPr>
          <w:p>
            <w:pPr>
              <w:spacing w:after="0" w:before="0"/>
            </w:pPr>
            <w:r/>
            <w:r>
              <w:rPr>
                <w:color w:val="1A1A1A"/>
                <w:sz w:val="19"/>
              </w:rPr>
              <w:t>The current financial year is the one in which the full 1,000 come into scope. Assured data is data a company is more willing to present prominently.</w:t>
            </w:r>
          </w:p>
        </w:tc>
      </w:tr>
      <w:tr>
        <w:trPr>
          <w:cantSplit/>
        </w:trPr>
        <w:tc>
          <w:tcPr>
            <w:tcW w:type="dxa" w:w="1928"/>
          </w:tcPr>
          <w:p>
            <w:pPr>
              <w:spacing w:after="0" w:before="0"/>
            </w:pPr>
            <w:r/>
            <w:r>
              <w:rPr>
                <w:color w:val="1A1A1A"/>
                <w:sz w:val="19"/>
              </w:rPr>
              <w:t>Industry Standards on BRSR Core</w:t>
            </w:r>
          </w:p>
        </w:tc>
        <w:tc>
          <w:tcPr>
            <w:tcW w:type="dxa" w:w="3912"/>
          </w:tcPr>
          <w:p>
            <w:pPr>
              <w:spacing w:after="0" w:before="0"/>
            </w:pPr>
            <w:r/>
            <w:r>
              <w:rPr>
                <w:color w:val="1A1A1A"/>
                <w:sz w:val="19"/>
              </w:rPr>
              <w:t>Introduced by SEBI circular dated 20 December 2024, developed by the Industry Standards Forum (ASSOCHAM, FICCI, CII).</w:t>
            </w:r>
          </w:p>
        </w:tc>
        <w:tc>
          <w:tcPr>
            <w:tcW w:type="dxa" w:w="3572"/>
          </w:tcPr>
          <w:p>
            <w:pPr>
              <w:spacing w:after="0" w:before="0"/>
            </w:pPr>
            <w:r/>
            <w:r>
              <w:rPr>
                <w:color w:val="1A1A1A"/>
                <w:sz w:val="19"/>
              </w:rPr>
              <w:t>Greater consistency between companies makes both extraction and cross-company comparison materially more tractable.</w:t>
            </w:r>
          </w:p>
        </w:tc>
      </w:tr>
      <w:tr>
        <w:trPr>
          <w:cantSplit/>
        </w:trPr>
        <w:tc>
          <w:tcPr>
            <w:tcW w:type="dxa" w:w="1928"/>
            <w:shd w:val="clear" w:color="auto" w:fill="F1F5F6"/>
          </w:tcPr>
          <w:p>
            <w:pPr>
              <w:spacing w:after="0" w:before="0"/>
            </w:pPr>
            <w:r/>
            <w:r>
              <w:rPr>
                <w:color w:val="1A1A1A"/>
                <w:sz w:val="19"/>
              </w:rPr>
              <w:t>SEBI relaxations</w:t>
            </w:r>
          </w:p>
        </w:tc>
        <w:tc>
          <w:tcPr>
            <w:tcW w:type="dxa" w:w="3912"/>
            <w:shd w:val="clear" w:color="auto" w:fill="F1F5F6"/>
          </w:tcPr>
          <w:p>
            <w:pPr>
              <w:spacing w:after="0" w:before="0"/>
            </w:pPr>
            <w:r/>
            <w:r>
              <w:rPr>
                <w:color w:val="1A1A1A"/>
                <w:sz w:val="19"/>
              </w:rPr>
              <w:t>"Assurance" broadened to "assessment or assurance"; value chain disclosure made voluntary; thresholds pared back after industry pushback.</w:t>
            </w:r>
          </w:p>
        </w:tc>
        <w:tc>
          <w:tcPr>
            <w:tcW w:type="dxa" w:w="3572"/>
            <w:shd w:val="clear" w:color="auto" w:fill="F1F5F6"/>
          </w:tcPr>
          <w:p>
            <w:pPr>
              <w:spacing w:after="0" w:before="0"/>
            </w:pPr>
            <w:r/>
            <w:r>
              <w:rPr>
                <w:color w:val="1A1A1A"/>
                <w:sz w:val="19"/>
              </w:rPr>
              <w:t>Reduces compliance pressure but does not reduce the volume of narrative published. The presentation problem is unaffected.</w:t>
            </w:r>
          </w:p>
        </w:tc>
      </w:tr>
      <w:tr>
        <w:trPr>
          <w:cantSplit/>
        </w:trPr>
        <w:tc>
          <w:tcPr>
            <w:tcW w:type="dxa" w:w="1928"/>
          </w:tcPr>
          <w:p>
            <w:pPr>
              <w:spacing w:after="0" w:before="0"/>
            </w:pPr>
            <w:r/>
            <w:r>
              <w:rPr>
                <w:color w:val="1A1A1A"/>
                <w:sz w:val="19"/>
              </w:rPr>
              <w:t>BRSR Core attributes</w:t>
            </w:r>
          </w:p>
        </w:tc>
        <w:tc>
          <w:tcPr>
            <w:tcW w:type="dxa" w:w="3912"/>
          </w:tcPr>
          <w:p>
            <w:pPr>
              <w:spacing w:after="0" w:before="0"/>
            </w:pPr>
            <w:r/>
            <w:r>
              <w:rPr>
                <w:color w:val="1A1A1A"/>
                <w:sz w:val="19"/>
              </w:rPr>
              <w:t>Nine attributes spanning GHG emissions, water, waste, energy, gender diversity, wages, inclusive development, customer fairness and openness of business.</w:t>
            </w:r>
          </w:p>
        </w:tc>
        <w:tc>
          <w:tcPr>
            <w:tcW w:type="dxa" w:w="3572"/>
          </w:tcPr>
          <w:p>
            <w:pPr>
              <w:spacing w:after="0" w:before="0"/>
            </w:pPr>
            <w:r/>
            <w:r>
              <w:rPr>
                <w:color w:val="1A1A1A"/>
                <w:sz w:val="19"/>
              </w:rPr>
              <w:t>A ready-made comparison spine for the benchmarking capability in Phase 4.</w:t>
            </w:r>
          </w:p>
        </w:tc>
      </w:tr>
    </w:tbl>
    <w:p>
      <w:pPr>
        <w:spacing w:after="40"/>
      </w:pPr>
    </w:p>
    <w:p>
      <w:pPr>
        <w:spacing w:after="160"/>
      </w:pPr>
      <w:r>
        <w:rPr>
          <w:i/>
          <w:color w:val="5A6470"/>
          <w:sz w:val="19"/>
        </w:rPr>
        <w:t>A caution worth carrying into any client conversation: the BRSR rules have been amended repeatedly, including deferrals and softened language, and are more fluid than most disclosure regimes. Re-verify the position before quoting these dates externally.</w:t>
      </w:r>
    </w:p>
    <w:p>
      <w:pPr>
        <w:keepNext/>
        <w:pageBreakBefore w:val="0"/>
        <w:spacing w:before="400" w:after="40"/>
        <w:pBdr>
          <w:bottom w:val="single" w:sz="8" w:space="4" w:color="BFD3D8"/>
        </w:pBdr>
      </w:pPr>
      <w:r>
        <w:rPr>
          <w:b/>
          <w:color w:val="0F4C5C"/>
          <w:sz w:val="30"/>
        </w:rPr>
        <w:t>4.  Users and Buyers</w:t>
      </w:r>
    </w:p>
    <w:p>
      <w:pPr>
        <w:spacing w:after="160"/>
      </w:pPr>
      <w:r>
        <w:rPr>
          <w:i w:val="0"/>
          <w:color w:val="1A1A1A"/>
          <w:sz w:val="21"/>
        </w:rPr>
        <w:t>The party who pays and the party who benefits are different, which shapes both the product and the sale. The company pays; the investor benefits; the company benefits indirectly through how it is perceived and scored.</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2381"/>
            <w:shd w:val="clear" w:color="auto" w:fill="0F4C5C"/>
          </w:tcPr>
          <w:p>
            <w:pPr>
              <w:spacing w:after="0" w:before="0"/>
            </w:pPr>
            <w:r/>
            <w:r>
              <w:rPr>
                <w:b/>
                <w:color w:val="FFFFFF"/>
                <w:sz w:val="19"/>
              </w:rPr>
              <w:t>Audience</w:t>
            </w:r>
          </w:p>
        </w:tc>
        <w:tc>
          <w:tcPr>
            <w:tcW w:type="dxa" w:w="4649"/>
            <w:shd w:val="clear" w:color="auto" w:fill="0F4C5C"/>
          </w:tcPr>
          <w:p>
            <w:pPr>
              <w:spacing w:after="0" w:before="0"/>
            </w:pPr>
            <w:r/>
            <w:r>
              <w:rPr>
                <w:b/>
                <w:color w:val="FFFFFF"/>
                <w:sz w:val="19"/>
              </w:rPr>
              <w:t>What they need</w:t>
            </w:r>
          </w:p>
        </w:tc>
        <w:tc>
          <w:tcPr>
            <w:tcW w:type="dxa" w:w="2381"/>
            <w:shd w:val="clear" w:color="auto" w:fill="0F4C5C"/>
          </w:tcPr>
          <w:p>
            <w:pPr>
              <w:spacing w:after="0" w:before="0"/>
            </w:pPr>
            <w:r/>
            <w:r>
              <w:rPr>
                <w:b/>
                <w:color w:val="FFFFFF"/>
                <w:sz w:val="19"/>
              </w:rPr>
              <w:t>Role</w:t>
            </w:r>
          </w:p>
        </w:tc>
      </w:tr>
      <w:tr>
        <w:trPr>
          <w:cantSplit/>
        </w:trPr>
        <w:tc>
          <w:tcPr>
            <w:tcW w:type="dxa" w:w="2381"/>
          </w:tcPr>
          <w:p>
            <w:pPr>
              <w:spacing w:after="0" w:before="0"/>
            </w:pPr>
            <w:r/>
            <w:r>
              <w:rPr>
                <w:color w:val="1A1A1A"/>
                <w:sz w:val="19"/>
              </w:rPr>
              <w:t>Sustainability / IR team at a listed company</w:t>
            </w:r>
          </w:p>
        </w:tc>
        <w:tc>
          <w:tcPr>
            <w:tcW w:type="dxa" w:w="4649"/>
          </w:tcPr>
          <w:p>
            <w:pPr>
              <w:spacing w:after="0" w:before="0"/>
            </w:pPr>
            <w:r/>
            <w:r>
              <w:rPr>
                <w:color w:val="1A1A1A"/>
                <w:sz w:val="19"/>
              </w:rPr>
              <w:t>Their disclosure to be found, understood and correctly credited; fewer repeat questions on figures already published.</w:t>
            </w:r>
          </w:p>
        </w:tc>
        <w:tc>
          <w:tcPr>
            <w:tcW w:type="dxa" w:w="2381"/>
          </w:tcPr>
          <w:p>
            <w:pPr>
              <w:spacing w:after="0" w:before="0"/>
            </w:pPr>
            <w:r/>
            <w:r>
              <w:rPr>
                <w:color w:val="1A1A1A"/>
                <w:sz w:val="19"/>
              </w:rPr>
              <w:t>Buyer and primary decision-maker</w:t>
            </w:r>
          </w:p>
        </w:tc>
      </w:tr>
      <w:tr>
        <w:trPr>
          <w:cantSplit/>
        </w:trPr>
        <w:tc>
          <w:tcPr>
            <w:tcW w:type="dxa" w:w="2381"/>
            <w:shd w:val="clear" w:color="auto" w:fill="F1F5F6"/>
          </w:tcPr>
          <w:p>
            <w:pPr>
              <w:spacing w:after="0" w:before="0"/>
            </w:pPr>
            <w:r/>
            <w:r>
              <w:rPr>
                <w:color w:val="1A1A1A"/>
                <w:sz w:val="19"/>
              </w:rPr>
              <w:t>Institutional investors and sell-side analysts</w:t>
            </w:r>
          </w:p>
        </w:tc>
        <w:tc>
          <w:tcPr>
            <w:tcW w:type="dxa" w:w="4649"/>
            <w:shd w:val="clear" w:color="auto" w:fill="F1F5F6"/>
          </w:tcPr>
          <w:p>
            <w:pPr>
              <w:spacing w:after="0" w:before="0"/>
            </w:pPr>
            <w:r/>
            <w:r>
              <w:rPr>
                <w:color w:val="1A1A1A"/>
                <w:sz w:val="19"/>
              </w:rPr>
              <w:t>A specific figure, with its source, fast — and the ability to compare it across years.</w:t>
            </w:r>
          </w:p>
        </w:tc>
        <w:tc>
          <w:tcPr>
            <w:tcW w:type="dxa" w:w="2381"/>
            <w:shd w:val="clear" w:color="auto" w:fill="F1F5F6"/>
          </w:tcPr>
          <w:p>
            <w:pPr>
              <w:spacing w:after="0" w:before="0"/>
            </w:pPr>
            <w:r/>
            <w:r>
              <w:rPr>
                <w:color w:val="1A1A1A"/>
                <w:sz w:val="19"/>
              </w:rPr>
              <w:t>Primary reader; drives the buyer's motivation</w:t>
            </w:r>
          </w:p>
        </w:tc>
      </w:tr>
      <w:tr>
        <w:trPr>
          <w:cantSplit/>
        </w:trPr>
        <w:tc>
          <w:tcPr>
            <w:tcW w:type="dxa" w:w="2381"/>
          </w:tcPr>
          <w:p>
            <w:pPr>
              <w:spacing w:after="0" w:before="0"/>
            </w:pPr>
            <w:r/>
            <w:r>
              <w:rPr>
                <w:color w:val="1A1A1A"/>
                <w:sz w:val="19"/>
              </w:rPr>
              <w:t>ESG rating agencies and data vendors</w:t>
            </w:r>
          </w:p>
        </w:tc>
        <w:tc>
          <w:tcPr>
            <w:tcW w:type="dxa" w:w="4649"/>
          </w:tcPr>
          <w:p>
            <w:pPr>
              <w:spacing w:after="0" w:before="0"/>
            </w:pPr>
            <w:r/>
            <w:r>
              <w:rPr>
                <w:color w:val="1A1A1A"/>
                <w:sz w:val="19"/>
              </w:rPr>
              <w:t>Locatable, structured disclosure to score against. What they cannot find, they mark as not disclosed.</w:t>
            </w:r>
          </w:p>
        </w:tc>
        <w:tc>
          <w:tcPr>
            <w:tcW w:type="dxa" w:w="2381"/>
          </w:tcPr>
          <w:p>
            <w:pPr>
              <w:spacing w:after="0" w:before="0"/>
            </w:pPr>
            <w:r/>
            <w:r>
              <w:rPr>
                <w:color w:val="1A1A1A"/>
                <w:sz w:val="19"/>
              </w:rPr>
              <w:t>Reader whose behaviour has direct financial consequence</w:t>
            </w:r>
          </w:p>
        </w:tc>
      </w:tr>
      <w:tr>
        <w:trPr>
          <w:cantSplit/>
        </w:trPr>
        <w:tc>
          <w:tcPr>
            <w:tcW w:type="dxa" w:w="2381"/>
            <w:shd w:val="clear" w:color="auto" w:fill="F1F5F6"/>
          </w:tcPr>
          <w:p>
            <w:pPr>
              <w:spacing w:after="0" w:before="0"/>
            </w:pPr>
            <w:r/>
            <w:r>
              <w:rPr>
                <w:color w:val="1A1A1A"/>
                <w:sz w:val="19"/>
              </w:rPr>
              <w:t>Lenders and sustainability-linked finance teams</w:t>
            </w:r>
          </w:p>
        </w:tc>
        <w:tc>
          <w:tcPr>
            <w:tcW w:type="dxa" w:w="4649"/>
            <w:shd w:val="clear" w:color="auto" w:fill="F1F5F6"/>
          </w:tcPr>
          <w:p>
            <w:pPr>
              <w:spacing w:after="0" w:before="0"/>
            </w:pPr>
            <w:r/>
            <w:r>
              <w:rPr>
                <w:color w:val="1A1A1A"/>
                <w:sz w:val="19"/>
              </w:rPr>
              <w:t>Verifiable metrics tied to covenants, traceable back to an assured source.</w:t>
            </w:r>
          </w:p>
        </w:tc>
        <w:tc>
          <w:tcPr>
            <w:tcW w:type="dxa" w:w="2381"/>
            <w:shd w:val="clear" w:color="auto" w:fill="F1F5F6"/>
          </w:tcPr>
          <w:p>
            <w:pPr>
              <w:spacing w:after="0" w:before="0"/>
            </w:pPr>
            <w:r/>
            <w:r>
              <w:rPr>
                <w:color w:val="1A1A1A"/>
                <w:sz w:val="19"/>
              </w:rPr>
              <w:t>Secondary reader</w:t>
            </w:r>
          </w:p>
        </w:tc>
      </w:tr>
      <w:tr>
        <w:trPr>
          <w:cantSplit/>
        </w:trPr>
        <w:tc>
          <w:tcPr>
            <w:tcW w:type="dxa" w:w="2381"/>
          </w:tcPr>
          <w:p>
            <w:pPr>
              <w:spacing w:after="0" w:before="0"/>
            </w:pPr>
            <w:r/>
            <w:r>
              <w:rPr>
                <w:color w:val="1A1A1A"/>
                <w:sz w:val="19"/>
              </w:rPr>
              <w:t>Sustainability consultants</w:t>
            </w:r>
          </w:p>
        </w:tc>
        <w:tc>
          <w:tcPr>
            <w:tcW w:type="dxa" w:w="4649"/>
          </w:tcPr>
          <w:p>
            <w:pPr>
              <w:spacing w:after="0" w:before="0"/>
            </w:pPr>
            <w:r/>
            <w:r>
              <w:rPr>
                <w:color w:val="1A1A1A"/>
                <w:sz w:val="19"/>
              </w:rPr>
              <w:t>A deliverable that makes a reporting engagement visibly more valuable to their client.</w:t>
            </w:r>
          </w:p>
        </w:tc>
        <w:tc>
          <w:tcPr>
            <w:tcW w:type="dxa" w:w="2381"/>
          </w:tcPr>
          <w:p>
            <w:pPr>
              <w:spacing w:after="0" w:before="0"/>
            </w:pPr>
            <w:r/>
            <w:r>
              <w:rPr>
                <w:color w:val="1A1A1A"/>
                <w:sz w:val="19"/>
              </w:rPr>
              <w:t>Distribution channel; also the founding perspective for this product</w:t>
            </w:r>
          </w:p>
        </w:tc>
      </w:tr>
    </w:tbl>
    <w:p>
      <w:pPr>
        <w:spacing w:after="40"/>
      </w:pPr>
    </w:p>
    <w:p>
      <w:pPr>
        <w:keepNext/>
        <w:pageBreakBefore w:val="0"/>
        <w:spacing w:before="400" w:after="40"/>
        <w:pBdr>
          <w:bottom w:val="single" w:sz="8" w:space="4" w:color="BFD3D8"/>
        </w:pBdr>
      </w:pPr>
      <w:r>
        <w:rPr>
          <w:b/>
          <w:color w:val="0F4C5C"/>
          <w:sz w:val="30"/>
        </w:rPr>
        <w:t>5.  Product Vision</w:t>
      </w:r>
    </w:p>
    <w:p>
      <w:pPr>
        <w:spacing w:after="160"/>
      </w:pPr>
      <w:r>
        <w:rPr>
          <w:i w:val="0"/>
          <w:color w:val="1A1A1A"/>
          <w:sz w:val="21"/>
        </w:rPr>
        <w:t>A company publishes its sustainability report as it does today. Within days, that report exists as a living profile: every disclosure a row, every figure carrying its unit and its year, every claim one click from the page it came from, all filterable by ESG factor, theme and keyword, and searchable in plain language.</w:t>
      </w:r>
    </w:p>
    <w:p>
      <w:pPr>
        <w:spacing w:after="160"/>
      </w:pPr>
      <w:r>
        <w:rPr>
          <w:i w:val="0"/>
          <w:color w:val="1A1A1A"/>
          <w:sz w:val="21"/>
        </w:rPr>
        <w:t>The company does not re-key anything and does not adopt a new reporting system. The platform reads what has already been published. That is the whole proposition: no new workflow, no new data collection, no change to the report — only a change to what the report becomes once it is filed.</w:t>
      </w:r>
    </w:p>
    <w:p>
      <w:pPr>
        <w:spacing w:after="160"/>
      </w:pPr>
      <w:r>
        <w:rPr>
          <w:b/>
          <w:i w:val="0"/>
          <w:color w:val="1A1A1A"/>
          <w:sz w:val="21"/>
        </w:rPr>
        <w:t xml:space="preserve">Design principle that constrains everything else:  </w:t>
      </w:r>
      <w:r>
        <w:rPr>
          <w:b w:val="0"/>
          <w:i w:val="0"/>
          <w:color w:val="1A1A1A"/>
          <w:sz w:val="21"/>
        </w:rPr>
        <w:t>the platform presents disclosure, it does not create it. It never estimates, never fills a gap with a plausible figure, never converts units on the way in. A missing value renders as missing. An invented number attributed to a named company would be a legal and reputational failure, not a bug.</w:t>
      </w:r>
    </w:p>
    <w:p>
      <w:pPr>
        <w:keepNext/>
        <w:pageBreakBefore w:val="0"/>
        <w:spacing w:before="400" w:after="40"/>
        <w:pBdr>
          <w:bottom w:val="single" w:sz="8" w:space="4" w:color="BFD3D8"/>
        </w:pBdr>
      </w:pPr>
      <w:r>
        <w:rPr>
          <w:b/>
          <w:color w:val="0F4C5C"/>
          <w:sz w:val="30"/>
        </w:rPr>
        <w:t>6.  Phased Roadmap</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353"/>
        <w:gridCol w:w="2353"/>
        <w:gridCol w:w="2353"/>
        <w:gridCol w:w="2353"/>
      </w:tblGrid>
      <w:tr>
        <w:trPr>
          <w:cantSplit/>
          <w:tblHeader w:val="true"/>
        </w:trPr>
        <w:tc>
          <w:tcPr>
            <w:tcW w:type="dxa" w:w="1701"/>
            <w:shd w:val="clear" w:color="auto" w:fill="0F4C5C"/>
          </w:tcPr>
          <w:p>
            <w:pPr>
              <w:spacing w:after="0" w:before="0"/>
            </w:pPr>
            <w:r/>
            <w:r>
              <w:rPr>
                <w:b/>
                <w:color w:val="FFFFFF"/>
                <w:sz w:val="19"/>
              </w:rPr>
              <w:t>Phase</w:t>
            </w:r>
          </w:p>
        </w:tc>
        <w:tc>
          <w:tcPr>
            <w:tcW w:type="dxa" w:w="4082"/>
            <w:shd w:val="clear" w:color="auto" w:fill="0F4C5C"/>
          </w:tcPr>
          <w:p>
            <w:pPr>
              <w:spacing w:after="0" w:before="0"/>
            </w:pPr>
            <w:r/>
            <w:r>
              <w:rPr>
                <w:b/>
                <w:color w:val="FFFFFF"/>
                <w:sz w:val="19"/>
              </w:rPr>
              <w:t>What it adds</w:t>
            </w:r>
          </w:p>
        </w:tc>
        <w:tc>
          <w:tcPr>
            <w:tcW w:type="dxa" w:w="1814"/>
            <w:shd w:val="clear" w:color="auto" w:fill="0F4C5C"/>
          </w:tcPr>
          <w:p>
            <w:pPr>
              <w:spacing w:after="0" w:before="0"/>
            </w:pPr>
            <w:r/>
            <w:r>
              <w:rPr>
                <w:b/>
                <w:color w:val="FFFFFF"/>
                <w:sz w:val="19"/>
              </w:rPr>
              <w:t>Primary user</w:t>
            </w:r>
          </w:p>
        </w:tc>
        <w:tc>
          <w:tcPr>
            <w:tcW w:type="dxa" w:w="1814"/>
            <w:shd w:val="clear" w:color="auto" w:fill="0F4C5C"/>
          </w:tcPr>
          <w:p>
            <w:pPr>
              <w:spacing w:after="0" w:before="0"/>
            </w:pPr>
            <w:r/>
            <w:r>
              <w:rPr>
                <w:b/>
                <w:color w:val="FFFFFF"/>
                <w:sz w:val="19"/>
              </w:rPr>
              <w:t>Status</w:t>
            </w:r>
          </w:p>
        </w:tc>
      </w:tr>
      <w:tr>
        <w:trPr>
          <w:cantSplit/>
        </w:trPr>
        <w:tc>
          <w:tcPr>
            <w:tcW w:type="dxa" w:w="1701"/>
          </w:tcPr>
          <w:p>
            <w:pPr>
              <w:spacing w:after="0" w:before="0"/>
            </w:pPr>
            <w:r/>
            <w:r>
              <w:rPr>
                <w:color w:val="1A1A1A"/>
                <w:sz w:val="19"/>
              </w:rPr>
              <w:t>1  Profile viewer</w:t>
            </w:r>
          </w:p>
        </w:tc>
        <w:tc>
          <w:tcPr>
            <w:tcW w:type="dxa" w:w="4082"/>
          </w:tcPr>
          <w:p>
            <w:pPr>
              <w:spacing w:after="0" w:before="0"/>
            </w:pPr>
            <w:r/>
            <w:r>
              <w:rPr>
                <w:color w:val="1A1A1A"/>
                <w:sz w:val="19"/>
              </w:rPr>
              <w:t>One company, one page. Data prepared offline from the published report. Filters by ESG factor, theme and keyword, full-text search, reported metrics with units and years, links to source documents, filtered CSV download and print-to-PDF.</w:t>
            </w:r>
          </w:p>
        </w:tc>
        <w:tc>
          <w:tcPr>
            <w:tcW w:type="dxa" w:w="1814"/>
          </w:tcPr>
          <w:p>
            <w:pPr>
              <w:spacing w:after="0" w:before="0"/>
            </w:pPr>
            <w:r/>
            <w:r>
              <w:rPr>
                <w:color w:val="1A1A1A"/>
                <w:sz w:val="19"/>
              </w:rPr>
              <w:t>Consultant presenting to a client</w:t>
            </w:r>
          </w:p>
        </w:tc>
        <w:tc>
          <w:tcPr>
            <w:tcW w:type="dxa" w:w="1814"/>
          </w:tcPr>
          <w:p>
            <w:pPr>
              <w:spacing w:after="0" w:before="0"/>
            </w:pPr>
            <w:r/>
            <w:r>
              <w:rPr>
                <w:color w:val="1A1A1A"/>
                <w:sz w:val="19"/>
              </w:rPr>
              <w:t>BUILT</w:t>
            </w:r>
          </w:p>
        </w:tc>
      </w:tr>
      <w:tr>
        <w:trPr>
          <w:cantSplit/>
        </w:trPr>
        <w:tc>
          <w:tcPr>
            <w:tcW w:type="dxa" w:w="1701"/>
            <w:shd w:val="clear" w:color="auto" w:fill="F1F5F6"/>
          </w:tcPr>
          <w:p>
            <w:pPr>
              <w:spacing w:after="0" w:before="0"/>
            </w:pPr>
            <w:r/>
            <w:r>
              <w:rPr>
                <w:color w:val="1A1A1A"/>
                <w:sz w:val="19"/>
              </w:rPr>
              <w:t>2  Multi-company hosting</w:t>
            </w:r>
          </w:p>
        </w:tc>
        <w:tc>
          <w:tcPr>
            <w:tcW w:type="dxa" w:w="4082"/>
            <w:shd w:val="clear" w:color="auto" w:fill="F1F5F6"/>
          </w:tcPr>
          <w:p>
            <w:pPr>
              <w:spacing w:after="0" w:before="0"/>
            </w:pPr>
            <w:r/>
            <w:r>
              <w:rPr>
                <w:color w:val="1A1A1A"/>
                <w:sz w:val="19"/>
              </w:rPr>
              <w:t>Several company profiles, each branded and separately addressable. Data prepared through a defined spreadsheet template rather than bespoke work per company. Hosted rather than opened locally.</w:t>
            </w:r>
          </w:p>
        </w:tc>
        <w:tc>
          <w:tcPr>
            <w:tcW w:type="dxa" w:w="1814"/>
            <w:shd w:val="clear" w:color="auto" w:fill="F1F5F6"/>
          </w:tcPr>
          <w:p>
            <w:pPr>
              <w:spacing w:after="0" w:before="0"/>
            </w:pPr>
            <w:r/>
            <w:r>
              <w:rPr>
                <w:color w:val="1A1A1A"/>
                <w:sz w:val="19"/>
              </w:rPr>
              <w:t>Company IR team; public visitors</w:t>
            </w:r>
          </w:p>
        </w:tc>
        <w:tc>
          <w:tcPr>
            <w:tcW w:type="dxa" w:w="1814"/>
            <w:shd w:val="clear" w:color="auto" w:fill="F1F5F6"/>
          </w:tcPr>
          <w:p>
            <w:pPr>
              <w:spacing w:after="0" w:before="0"/>
            </w:pPr>
            <w:r/>
            <w:r>
              <w:rPr>
                <w:color w:val="1A1A1A"/>
                <w:sz w:val="19"/>
              </w:rPr>
              <w:t>Proposed</w:t>
            </w:r>
          </w:p>
        </w:tc>
      </w:tr>
      <w:tr>
        <w:trPr>
          <w:cantSplit/>
        </w:trPr>
        <w:tc>
          <w:tcPr>
            <w:tcW w:type="dxa" w:w="1701"/>
          </w:tcPr>
          <w:p>
            <w:pPr>
              <w:spacing w:after="0" w:before="0"/>
            </w:pPr>
            <w:r/>
            <w:r>
              <w:rPr>
                <w:color w:val="1A1A1A"/>
                <w:sz w:val="19"/>
              </w:rPr>
              <w:t>3  Assisted extraction</w:t>
            </w:r>
          </w:p>
        </w:tc>
        <w:tc>
          <w:tcPr>
            <w:tcW w:type="dxa" w:w="4082"/>
          </w:tcPr>
          <w:p>
            <w:pPr>
              <w:spacing w:after="0" w:before="0"/>
            </w:pPr>
            <w:r/>
            <w:r>
              <w:rPr>
                <w:color w:val="1A1A1A"/>
                <w:sz w:val="19"/>
              </w:rPr>
              <w:t>Upload a published BRSR or sustainability report; the platform proposes structured disclosure rows for human review, correction and approval before anything is published.</w:t>
            </w:r>
          </w:p>
        </w:tc>
        <w:tc>
          <w:tcPr>
            <w:tcW w:type="dxa" w:w="1814"/>
          </w:tcPr>
          <w:p>
            <w:pPr>
              <w:spacing w:after="0" w:before="0"/>
            </w:pPr>
            <w:r/>
            <w:r>
              <w:rPr>
                <w:color w:val="1A1A1A"/>
                <w:sz w:val="19"/>
              </w:rPr>
              <w:t>Consultant or company analyst</w:t>
            </w:r>
          </w:p>
        </w:tc>
        <w:tc>
          <w:tcPr>
            <w:tcW w:type="dxa" w:w="1814"/>
          </w:tcPr>
          <w:p>
            <w:pPr>
              <w:spacing w:after="0" w:before="0"/>
            </w:pPr>
            <w:r/>
            <w:r>
              <w:rPr>
                <w:color w:val="1A1A1A"/>
                <w:sz w:val="19"/>
              </w:rPr>
              <w:t>PROTOTYPE BUILT; accuracy unmeasured</w:t>
            </w:r>
          </w:p>
        </w:tc>
      </w:tr>
      <w:tr>
        <w:trPr>
          <w:cantSplit/>
        </w:trPr>
        <w:tc>
          <w:tcPr>
            <w:tcW w:type="dxa" w:w="1701"/>
            <w:shd w:val="clear" w:color="auto" w:fill="F1F5F6"/>
          </w:tcPr>
          <w:p>
            <w:pPr>
              <w:spacing w:after="0" w:before="0"/>
            </w:pPr>
            <w:r/>
            <w:r>
              <w:rPr>
                <w:color w:val="1A1A1A"/>
                <w:sz w:val="19"/>
              </w:rPr>
              <w:t>4  Benchmarking and trend</w:t>
            </w:r>
          </w:p>
        </w:tc>
        <w:tc>
          <w:tcPr>
            <w:tcW w:type="dxa" w:w="4082"/>
            <w:shd w:val="clear" w:color="auto" w:fill="F1F5F6"/>
          </w:tcPr>
          <w:p>
            <w:pPr>
              <w:spacing w:after="0" w:before="0"/>
            </w:pPr>
            <w:r/>
            <w:r>
              <w:rPr>
                <w:color w:val="1A1A1A"/>
                <w:sz w:val="19"/>
              </w:rPr>
              <w:t>Peer comparison on BRSR Core attributes and multi-year trend views built from the year-tagged metrics already present in the data.</w:t>
            </w:r>
          </w:p>
        </w:tc>
        <w:tc>
          <w:tcPr>
            <w:tcW w:type="dxa" w:w="1814"/>
            <w:shd w:val="clear" w:color="auto" w:fill="F1F5F6"/>
          </w:tcPr>
          <w:p>
            <w:pPr>
              <w:spacing w:after="0" w:before="0"/>
            </w:pPr>
            <w:r/>
            <w:r>
              <w:rPr>
                <w:color w:val="1A1A1A"/>
                <w:sz w:val="19"/>
              </w:rPr>
              <w:t>Investors and analysts</w:t>
            </w:r>
          </w:p>
        </w:tc>
        <w:tc>
          <w:tcPr>
            <w:tcW w:type="dxa" w:w="1814"/>
            <w:shd w:val="clear" w:color="auto" w:fill="F1F5F6"/>
          </w:tcPr>
          <w:p>
            <w:pPr>
              <w:spacing w:after="0" w:before="0"/>
            </w:pPr>
            <w:r/>
            <w:r>
              <w:rPr>
                <w:color w:val="1A1A1A"/>
                <w:sz w:val="19"/>
              </w:rPr>
              <w:t>Proposed</w:t>
            </w:r>
          </w:p>
        </w:tc>
      </w:tr>
    </w:tbl>
    <w:p>
      <w:pPr>
        <w:spacing w:after="40"/>
      </w:pPr>
    </w:p>
    <w:p>
      <w:pPr>
        <w:keepNext/>
        <w:spacing w:before="240" w:after="60"/>
      </w:pPr>
      <w:r>
        <w:rPr>
          <w:b/>
          <w:color w:val="1A1A1A"/>
          <w:sz w:val="23"/>
        </w:rPr>
        <w:t>Why Phase 3 is deliberately assisted, not automatic</w:t>
      </w:r>
    </w:p>
    <w:p>
      <w:pPr>
        <w:spacing w:after="160"/>
      </w:pPr>
      <w:r>
        <w:rPr>
          <w:i w:val="0"/>
          <w:color w:val="1A1A1A"/>
          <w:sz w:val="21"/>
        </w:rPr>
        <w:t>The original framing of this product was that a company uploads a report and a dashboard appears. That remains the destination, but full automation is the wrong target for a product of this kind. Extracting 663 structured disclosures from a 300-page PDF will not be perfect, and the failure mode is not a blank field — it is a wrong figure published under a real company's name, next to a link to their audited annual report.</w:t>
      </w:r>
    </w:p>
    <w:p>
      <w:pPr>
        <w:spacing w:after="160"/>
      </w:pPr>
      <w:r>
        <w:rPr>
          <w:i w:val="0"/>
          <w:color w:val="1A1A1A"/>
          <w:sz w:val="21"/>
        </w:rPr>
        <w:t>Phase 3 therefore produces a reviewable draft: proposed rows, each with the page it was drawn from, presented for approval. That keeps a qualified human between extraction and publication, which is also what makes the output defensible to the company's auditors and to the consultant's own professional standing. The time saved is still most of the work.</w:t>
        <w:br/>
      </w:r>
    </w:p>
    <w:p>
      <w:pPr>
        <w:keepNext/>
        <w:spacing w:before="240" w:after="60"/>
      </w:pPr>
      <w:r>
        <w:rPr>
          <w:b/>
          <w:color w:val="1A1A1A"/>
          <w:sz w:val="23"/>
        </w:rPr>
        <w:t>Sequencing logic</w:t>
      </w:r>
    </w:p>
    <w:p>
      <w:pPr>
        <w:pStyle w:val="ListBullet"/>
        <w:spacing w:after="80"/>
        <w:ind w:left="340"/>
      </w:pPr>
      <w:r>
        <w:rPr>
          <w:b/>
          <w:color w:val="1A1A1A"/>
          <w:sz w:val="21"/>
        </w:rPr>
        <w:t xml:space="preserve">Phase 1 </w:t>
      </w:r>
      <w:r>
        <w:rPr>
          <w:color w:val="1A1A1A"/>
          <w:sz w:val="21"/>
        </w:rPr>
        <w:t>proves the viewing experience is worth having at all, before any extraction is built.</w:t>
      </w:r>
    </w:p>
    <w:p>
      <w:pPr>
        <w:pStyle w:val="ListBullet"/>
        <w:spacing w:after="80"/>
        <w:ind w:left="340"/>
      </w:pPr>
      <w:r>
        <w:rPr>
          <w:b/>
          <w:color w:val="1A1A1A"/>
          <w:sz w:val="21"/>
        </w:rPr>
        <w:t xml:space="preserve">Phase 2 </w:t>
      </w:r>
      <w:r>
        <w:rPr>
          <w:color w:val="1A1A1A"/>
          <w:sz w:val="21"/>
        </w:rPr>
        <w:t>proves companies will pay to host their own profile, before extraction cost is incurred.</w:t>
      </w:r>
    </w:p>
    <w:p>
      <w:pPr>
        <w:pStyle w:val="ListBullet"/>
        <w:spacing w:after="80"/>
        <w:ind w:left="340"/>
      </w:pPr>
      <w:r>
        <w:rPr>
          <w:b/>
          <w:color w:val="1A1A1A"/>
          <w:sz w:val="21"/>
        </w:rPr>
        <w:t xml:space="preserve">Phase 3 </w:t>
      </w:r>
      <w:r>
        <w:rPr>
          <w:color w:val="1A1A1A"/>
          <w:sz w:val="21"/>
        </w:rPr>
        <w:t>removes the manual data preparation that limits how many companies can be served.</w:t>
      </w:r>
    </w:p>
    <w:p>
      <w:pPr>
        <w:pStyle w:val="ListBullet"/>
        <w:spacing w:after="80"/>
        <w:ind w:left="340"/>
      </w:pPr>
      <w:r>
        <w:rPr>
          <w:b/>
          <w:color w:val="1A1A1A"/>
          <w:sz w:val="21"/>
        </w:rPr>
        <w:t xml:space="preserve">Phase 4 </w:t>
      </w:r>
      <w:r>
        <w:rPr>
          <w:color w:val="1A1A1A"/>
          <w:sz w:val="21"/>
        </w:rPr>
        <w:t>is only possible once enough companies are on the platform to compare against.</w:t>
      </w:r>
    </w:p>
    <w:p>
      <w:pPr>
        <w:keepNext/>
        <w:pageBreakBefore w:val="0"/>
        <w:spacing w:before="400" w:after="40"/>
        <w:pBdr>
          <w:bottom w:val="single" w:sz="8" w:space="4" w:color="BFD3D8"/>
        </w:pBdr>
      </w:pPr>
      <w:r>
        <w:rPr>
          <w:b/>
          <w:color w:val="0F4C5C"/>
          <w:sz w:val="30"/>
        </w:rPr>
        <w:t>7.  Phase 1 — Built</w:t>
      </w:r>
    </w:p>
    <w:p>
      <w:pPr>
        <w:spacing w:after="160"/>
      </w:pPr>
      <w:r>
        <w:rPr>
          <w:i w:val="0"/>
          <w:color w:val="1A1A1A"/>
          <w:sz w:val="21"/>
        </w:rPr>
        <w:t>Phase 1 is built and working. It is specified in the companion document product-spec.md, which remains the authority for scope. What exists today:</w:t>
      </w:r>
    </w:p>
    <w:p>
      <w:pPr>
        <w:pStyle w:val="ListBullet"/>
        <w:spacing w:after="80"/>
        <w:ind w:left="340"/>
      </w:pPr>
      <w:r>
        <w:rPr>
          <w:b/>
          <w:color w:val="1A1A1A"/>
          <w:sz w:val="21"/>
        </w:rPr>
        <w:t xml:space="preserve">Delivery:  </w:t>
      </w:r>
      <w:r>
        <w:rPr>
          <w:color w:val="1A1A1A"/>
          <w:sz w:val="21"/>
        </w:rPr>
        <w:t>single web page, no login, no server, no external dependencies; opens by double-clicking for live demonstration.</w:t>
      </w:r>
    </w:p>
    <w:p>
      <w:pPr>
        <w:pStyle w:val="ListBullet"/>
        <w:spacing w:after="80"/>
        <w:ind w:left="340"/>
      </w:pPr>
      <w:r>
        <w:rPr>
          <w:b/>
          <w:color w:val="1A1A1A"/>
          <w:sz w:val="21"/>
        </w:rPr>
        <w:t xml:space="preserve">Data:  </w:t>
      </w:r>
      <w:r>
        <w:rPr>
          <w:color w:val="1A1A1A"/>
          <w:sz w:val="21"/>
        </w:rPr>
        <w:t>one company's disclosures, converted once from the published export into a bundled data file. Nothing is read from a spreadsheet at runtime.</w:t>
      </w:r>
    </w:p>
    <w:p>
      <w:pPr>
        <w:pStyle w:val="ListBullet"/>
        <w:spacing w:after="80"/>
        <w:ind w:left="340"/>
      </w:pPr>
      <w:r>
        <w:rPr>
          <w:b/>
          <w:color w:val="1A1A1A"/>
          <w:sz w:val="21"/>
        </w:rPr>
        <w:t xml:space="preserve">Interaction:  </w:t>
      </w:r>
      <w:r>
        <w:rPr>
          <w:color w:val="1A1A1A"/>
          <w:sz w:val="21"/>
        </w:rPr>
        <w:t>filter by ESG factor, theme and keyword; full-text search across titles, categories, keywords, metric labels and narrative.</w:t>
      </w:r>
    </w:p>
    <w:p>
      <w:pPr>
        <w:pStyle w:val="ListBullet"/>
        <w:spacing w:after="80"/>
        <w:ind w:left="340"/>
      </w:pPr>
      <w:r>
        <w:rPr>
          <w:b/>
          <w:color w:val="1A1A1A"/>
          <w:sz w:val="21"/>
        </w:rPr>
        <w:t xml:space="preserve">Presentation:  </w:t>
      </w:r>
      <w:r>
        <w:rPr>
          <w:color w:val="1A1A1A"/>
          <w:sz w:val="21"/>
        </w:rPr>
        <w:t>disclosure rows grouped by category, reported figures shown with their units and years, source documents linked, long narrative collapsed with expand-on-demand.</w:t>
      </w:r>
    </w:p>
    <w:p>
      <w:pPr>
        <w:pStyle w:val="ListBullet"/>
        <w:spacing w:after="80"/>
        <w:ind w:left="340"/>
      </w:pPr>
      <w:r>
        <w:rPr>
          <w:b/>
          <w:color w:val="1A1A1A"/>
          <w:sz w:val="21"/>
        </w:rPr>
        <w:t xml:space="preserve">Export:  </w:t>
      </w:r>
      <w:r>
        <w:rPr>
          <w:color w:val="1A1A1A"/>
          <w:sz w:val="21"/>
        </w:rPr>
        <w:t>filtered CSV download and a print stylesheet for Save-as-PDF. No spreadsheet or PDF libraries.</w:t>
      </w:r>
    </w:p>
    <w:p>
      <w:pPr>
        <w:spacing w:after="160"/>
      </w:pPr>
      <w:r>
        <w:rPr>
          <w:i w:val="0"/>
          <w:color w:val="1A1A1A"/>
          <w:sz w:val="21"/>
        </w:rPr>
        <w:t>It runs against the real export: 663 disclosures across 28 categories, 96 carrying reported figures, 84 keyword tags, 912 links to source documents, 45 year-over-year trend series, and 149 disclosures mapped to BRSR indicators and GRI.</w:t>
      </w:r>
    </w:p>
    <w:p>
      <w:pPr>
        <w:keepNext/>
        <w:spacing w:before="240" w:after="60"/>
      </w:pPr>
      <w:r>
        <w:rPr>
          <w:b/>
          <w:color w:val="1A1A1A"/>
          <w:sz w:val="23"/>
        </w:rPr>
        <w:t>Verification</w:t>
      </w:r>
    </w:p>
    <w:p>
      <w:pPr>
        <w:spacing w:after="160"/>
      </w:pPr>
      <w:r>
        <w:rPr>
          <w:i w:val="0"/>
          <w:color w:val="1A1A1A"/>
          <w:sz w:val="21"/>
        </w:rPr>
        <w:t>The project carries 107 automated checks that run the shipped page code against the shipped data, plus nine checks inside the data converter, which refuses to write a file when any of them fails. They cover filter counts, framework provenance, indicator codes, chart geometry and export integrity. Bugs they caught — each of which looked correct on screen — include framework tags leaking onto unrelated rows, the CSV export silently losing a column prefix, two rows losing their indicator codes to non-breaking spaces, and charts scaling from the smallest value rather than from zero. The page has since been reviewed in a browser.</w:t>
      </w:r>
    </w:p>
    <w:p>
      <w:pPr>
        <w:keepNext/>
        <w:spacing w:before="240" w:after="60"/>
      </w:pPr>
      <w:r>
        <w:rPr>
          <w:b/>
          <w:color w:val="1A1A1A"/>
          <w:sz w:val="23"/>
        </w:rPr>
        <w:t>Anonymisation</w:t>
      </w:r>
    </w:p>
    <w:p>
      <w:pPr>
        <w:spacing w:after="160"/>
      </w:pPr>
      <w:r>
        <w:rPr>
          <w:i w:val="0"/>
          <w:color w:val="1A1A1A"/>
          <w:sz w:val="21"/>
        </w:rPr>
        <w:t>The demonstration does not carry the pilot company's name. Company and personal names, contact details, identifiers, document links and third-party organisations are replaced; the sixteen director biographies are withheld entirely, because the combination of previous employers, universities and other board seats identifies an individual in a single search.</w:t>
      </w:r>
    </w:p>
    <w:p>
      <w:pPr>
        <w:spacing w:after="160"/>
      </w:pPr>
      <w:r>
        <w:rPr>
          <w:b/>
          <w:i w:val="0"/>
          <w:color w:val="1A1A1A"/>
          <w:sz w:val="21"/>
        </w:rPr>
        <w:t xml:space="preserve">This is de-branded, not anonymous, and should be described that way. </w:t>
      </w:r>
      <w:r>
        <w:rPr>
          <w:b w:val="0"/>
          <w:i w:val="0"/>
          <w:color w:val="1A1A1A"/>
          <w:sz w:val="21"/>
        </w:rPr>
        <w:t>The reported figures are real and unchanged — deliberately, since altering a published figure is a line this product does not cross — so they can be matched back to the filed report by anyone who has it. The sector also remains legible from the narrative.</w:t>
      </w:r>
    </w:p>
    <w:p>
      <w:pPr>
        <w:keepNext/>
        <w:spacing w:before="240" w:after="60"/>
      </w:pPr>
      <w:r>
        <w:rPr>
          <w:b/>
          <w:color w:val="1A1A1A"/>
          <w:sz w:val="23"/>
        </w:rPr>
        <w:t>Framework mapping — and why it is narrower than it could be</w:t>
      </w:r>
    </w:p>
    <w:p>
      <w:pPr>
        <w:spacing w:after="160"/>
      </w:pPr>
      <w:r>
        <w:rPr>
          <w:i w:val="0"/>
          <w:color w:val="1A1A1A"/>
          <w:sz w:val="21"/>
        </w:rPr>
        <w:t>Every one of the 149 BRSR disclosures now carries its indicator number from SEBI's own format, and the GRI disclosures it corresponds to, taken from the published GRI-SEBI linkage document. 114 map to GRI at indicator level; 35 keep a coarser principle-level answer where the linkage document has no entry.</w:t>
      </w:r>
    </w:p>
    <w:p>
      <w:pPr>
        <w:spacing w:after="160"/>
      </w:pPr>
      <w:r>
        <w:rPr>
          <w:b/>
          <w:i w:val="0"/>
          <w:color w:val="1A1A1A"/>
          <w:sz w:val="21"/>
        </w:rPr>
        <w:t xml:space="preserve">The restraint is the feature. </w:t>
      </w:r>
      <w:r>
        <w:rPr>
          <w:b w:val="0"/>
          <w:i w:val="0"/>
          <w:color w:val="1A1A1A"/>
          <w:sz w:val="21"/>
        </w:rPr>
        <w:t>An earlier version tagged 445 rows to GRI and 324 to IFC by keyword matching — any row mentioning water received GRI 303, whether or not that was correct. Those numbers looked better and meant nothing. They were replaced with sourced mappings covering fewer rows. IFC is narrower still, at 49 rows, because no published BRSR-to-IFC mapping exists: it is derived by alignment through GRI, is marked as such on screen, and excludes three categories of row that produced results reading as nonsense — including the company's e-mail address filed under a risk-management standard.</w:t>
      </w:r>
    </w:p>
    <w:p>
      <w:pPr>
        <w:spacing w:after="160"/>
      </w:pPr>
      <w:r>
        <w:rPr>
          <w:i w:val="0"/>
          <w:color w:val="1A1A1A"/>
          <w:sz w:val="21"/>
        </w:rPr>
        <w:t>This matters commercially as well as intellectually. A consultant may be asked to defend any row's classification to a client. A mapping traceable to a named public document can be defended; a keyword guess cannot.</w:t>
      </w:r>
    </w:p>
    <w:p>
      <w:pPr>
        <w:keepNext/>
        <w:spacing w:before="240" w:after="60"/>
      </w:pPr>
      <w:r>
        <w:rPr>
          <w:b/>
          <w:color w:val="1A1A1A"/>
          <w:sz w:val="23"/>
        </w:rPr>
        <w:t>Phase 3 prototype — what it settles, and what it does not</w:t>
      </w:r>
    </w:p>
    <w:p>
      <w:pPr>
        <w:spacing w:after="160"/>
      </w:pPr>
      <w:r>
        <w:rPr>
          <w:i w:val="0"/>
          <w:color w:val="1A1A1A"/>
          <w:sz w:val="21"/>
        </w:rPr>
        <w:t>A working prototype now reads a filed BRSR or sustainability report and produces a profile. It runs entirely in the browser: no server, no install, no internet connection.</w:t>
      </w:r>
    </w:p>
    <w:p>
      <w:pPr>
        <w:spacing w:after="160"/>
      </w:pPr>
      <w:r>
        <w:rPr>
          <w:i w:val="0"/>
          <w:color w:val="1A1A1A"/>
          <w:sz w:val="21"/>
        </w:rPr>
        <w:t>Three questions this document previously left open are now answered:</w:t>
      </w:r>
    </w:p>
    <w:p>
      <w:pPr>
        <w:pStyle w:val="ListBullet"/>
        <w:spacing w:after="80"/>
        <w:ind w:left="340"/>
      </w:pPr>
      <w:r>
        <w:rPr>
          <w:b/>
          <w:color w:val="1A1A1A"/>
          <w:sz w:val="21"/>
        </w:rPr>
        <w:t xml:space="preserve">Cost per report:  </w:t>
      </w:r>
      <w:r>
        <w:rPr>
          <w:color w:val="1A1A1A"/>
          <w:sz w:val="21"/>
        </w:rPr>
        <w:t>there is none. Extraction is pattern and layout analysis rather than an AI model, so a report costs nothing to process and the unit economics stop being a risk to the pricing.</w:t>
      </w:r>
    </w:p>
    <w:p>
      <w:pPr>
        <w:pStyle w:val="ListBullet"/>
        <w:spacing w:after="80"/>
        <w:ind w:left="340"/>
      </w:pPr>
      <w:r>
        <w:rPr>
          <w:b/>
          <w:color w:val="1A1A1A"/>
          <w:sz w:val="21"/>
        </w:rPr>
        <w:t xml:space="preserve">Whether review can be enforced:  </w:t>
      </w:r>
      <w:r>
        <w:rPr>
          <w:color w:val="1A1A1A"/>
          <w:sz w:val="21"/>
        </w:rPr>
        <w:t>the prototype refuses to produce a profile until a human has approved or excluded every indicator. The safeguard this document insisted on is enforced in software rather than left to discipline.</w:t>
      </w:r>
    </w:p>
    <w:p>
      <w:pPr>
        <w:pStyle w:val="ListBullet"/>
        <w:spacing w:after="80"/>
        <w:ind w:left="340"/>
      </w:pPr>
      <w:r>
        <w:rPr>
          <w:b/>
          <w:color w:val="1A1A1A"/>
          <w:sz w:val="21"/>
        </w:rPr>
        <w:t xml:space="preserve">Whether provenance survives extraction:  </w:t>
      </w:r>
      <w:r>
        <w:rPr>
          <w:color w:val="1A1A1A"/>
          <w:sz w:val="21"/>
        </w:rPr>
        <w:t>each extracted figure carries the page it came from, whether it was read from a table or from narrative text, and a confidence score. A reviewer can check a number without leaving the screen.</w:t>
      </w:r>
    </w:p>
    <w:p>
      <w:pPr>
        <w:spacing w:after="160"/>
      </w:pPr>
      <w:r>
        <w:rPr>
          <w:b/>
          <w:i w:val="0"/>
          <w:color w:val="1A1A1A"/>
          <w:sz w:val="21"/>
        </w:rPr>
        <w:t xml:space="preserve">What remains unanswered is the only question that matters commercially. </w:t>
      </w:r>
      <w:r>
        <w:rPr>
          <w:b w:val="0"/>
          <w:i w:val="0"/>
          <w:color w:val="1A1A1A"/>
          <w:sz w:val="21"/>
        </w:rPr>
        <w:t>Nobody has run it against a report whose correct answers are known, so extraction accuracy is unmeasured. That number decides whether a client can review their own profile — which is what makes the volume economics work — or whether every profile must pass through the consultant, which caps the business at his available hours.</w:t>
      </w:r>
    </w:p>
    <w:p>
      <w:pPr>
        <w:spacing w:after="200"/>
      </w:pPr>
      <w:r>
        <w:rPr>
          <w:i w:val="0"/>
          <w:color w:val="1A1A1A"/>
          <w:sz w:val="21"/>
        </w:rPr>
        <w:t>The measurement is now inexpensive. An analyst-curated profile already exists for a company whose report is public, giving several hundred known-correct rows to score against. This is a day of work, not the two-week exercise originally scoped.</w:t>
      </w:r>
    </w:p>
    <w:p>
      <w:pPr>
        <w:keepNext/>
        <w:spacing w:before="240" w:after="60"/>
      </w:pPr>
      <w:r>
        <w:rPr>
          <w:b/>
          <w:color w:val="1A1A1A"/>
          <w:sz w:val="23"/>
        </w:rPr>
        <w:t>From prototype to something saleable</w:t>
      </w:r>
    </w:p>
    <w:p>
      <w:pPr>
        <w:spacing w:after="160"/>
      </w:pPr>
      <w:r>
        <w:rPr>
          <w:i w:val="0"/>
          <w:color w:val="1A1A1A"/>
          <w:sz w:val="21"/>
        </w:rPr>
        <w:t>The prototype works. What separates it from a product is a short, specific list, and none of it is a feature request.</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706"/>
        <w:gridCol w:w="4706"/>
      </w:tblGrid>
      <w:tr>
        <w:trPr>
          <w:cantSplit/>
          <w:tblHeader w:val="true"/>
        </w:trPr>
        <w:tc>
          <w:tcPr>
            <w:tcW w:type="dxa" w:w="2608"/>
            <w:shd w:val="clear" w:color="auto" w:fill="0F4C5C"/>
          </w:tcPr>
          <w:p>
            <w:pPr>
              <w:spacing w:after="0" w:before="0"/>
            </w:pPr>
            <w:r/>
            <w:r>
              <w:rPr>
                <w:b/>
                <w:color w:val="FFFFFF"/>
                <w:sz w:val="19"/>
              </w:rPr>
              <w:t>What</w:t>
            </w:r>
          </w:p>
        </w:tc>
        <w:tc>
          <w:tcPr>
            <w:tcW w:type="dxa" w:w="6803"/>
            <w:shd w:val="clear" w:color="auto" w:fill="0F4C5C"/>
          </w:tcPr>
          <w:p>
            <w:pPr>
              <w:spacing w:after="0" w:before="0"/>
            </w:pPr>
            <w:r/>
            <w:r>
              <w:rPr>
                <w:b/>
                <w:color w:val="FFFFFF"/>
                <w:sz w:val="19"/>
              </w:rPr>
              <w:t>Why it blocks a sale</w:t>
            </w:r>
          </w:p>
        </w:tc>
      </w:tr>
      <w:tr>
        <w:trPr>
          <w:cantSplit/>
        </w:trPr>
        <w:tc>
          <w:tcPr>
            <w:tcW w:type="dxa" w:w="2608"/>
          </w:tcPr>
          <w:p>
            <w:pPr>
              <w:spacing w:after="0" w:before="0"/>
            </w:pPr>
            <w:r/>
            <w:r>
              <w:rPr>
                <w:color w:val="1A1A1A"/>
                <w:sz w:val="19"/>
              </w:rPr>
              <w:t>Accuracy is still unmeasured</w:t>
            </w:r>
          </w:p>
        </w:tc>
        <w:tc>
          <w:tcPr>
            <w:tcW w:type="dxa" w:w="6803"/>
          </w:tcPr>
          <w:p>
            <w:pPr>
              <w:spacing w:after="0" w:before="0"/>
            </w:pPr>
            <w:r/>
            <w:r>
              <w:rPr>
                <w:color w:val="1A1A1A"/>
                <w:sz w:val="19"/>
              </w:rPr>
              <w:t>It cannot be priced, promised, or used to decide whether a client reviews their own profile. And a defect found on 9 September shows the number may not be what intuition suggests: the extractor mis-locates two of the nine BRSR principles on the one test document available, reporting one principle's content under another's codes.</w:t>
            </w:r>
          </w:p>
        </w:tc>
      </w:tr>
      <w:tr>
        <w:trPr>
          <w:cantSplit/>
        </w:trPr>
        <w:tc>
          <w:tcPr>
            <w:tcW w:type="dxa" w:w="2608"/>
            <w:shd w:val="clear" w:color="auto" w:fill="F1F5F6"/>
          </w:tcPr>
          <w:p>
            <w:pPr>
              <w:spacing w:after="0" w:before="0"/>
            </w:pPr>
            <w:r/>
            <w:r>
              <w:rPr>
                <w:color w:val="1A1A1A"/>
                <w:sz w:val="19"/>
              </w:rPr>
              <w:t>The review gate can be bypassed</w:t>
            </w:r>
          </w:p>
        </w:tc>
        <w:tc>
          <w:tcPr>
            <w:tcW w:type="dxa" w:w="6803"/>
            <w:shd w:val="clear" w:color="auto" w:fill="F1F5F6"/>
          </w:tcPr>
          <w:p>
            <w:pPr>
              <w:spacing w:after="0" w:before="0"/>
            </w:pPr>
            <w:r/>
            <w:r>
              <w:rPr>
                <w:color w:val="1A1A1A"/>
                <w:sz w:val="19"/>
              </w:rPr>
              <w:t>An “Approve all” control satisfies the gate for every indicator in one click. The gate is the property that makes this defensible; a single button makes it ceremonial.</w:t>
            </w:r>
          </w:p>
        </w:tc>
      </w:tr>
      <w:tr>
        <w:trPr>
          <w:cantSplit/>
        </w:trPr>
        <w:tc>
          <w:tcPr>
            <w:tcW w:type="dxa" w:w="2608"/>
          </w:tcPr>
          <w:p>
            <w:pPr>
              <w:spacing w:after="0" w:before="0"/>
            </w:pPr>
            <w:r/>
            <w:r>
              <w:rPr>
                <w:color w:val="1A1A1A"/>
                <w:sz w:val="19"/>
              </w:rPr>
              <w:t>Review work is not saved</w:t>
            </w:r>
          </w:p>
        </w:tc>
        <w:tc>
          <w:tcPr>
            <w:tcW w:type="dxa" w:w="6803"/>
          </w:tcPr>
          <w:p>
            <w:pPr>
              <w:spacing w:after="0" w:before="0"/>
            </w:pPr>
            <w:r/>
            <w:r>
              <w:rPr>
                <w:color w:val="1A1A1A"/>
                <w:sz w:val="19"/>
              </w:rPr>
              <w:t>Roughly an hour of reviewing is lost to a reload or a closed tab. Tolerable in a prototype, not in something a client pays for.</w:t>
            </w:r>
          </w:p>
        </w:tc>
      </w:tr>
      <w:tr>
        <w:trPr>
          <w:cantSplit/>
        </w:trPr>
        <w:tc>
          <w:tcPr>
            <w:tcW w:type="dxa" w:w="2608"/>
            <w:shd w:val="clear" w:color="auto" w:fill="F1F5F6"/>
          </w:tcPr>
          <w:p>
            <w:pPr>
              <w:spacing w:after="0" w:before="0"/>
            </w:pPr>
            <w:r/>
            <w:r>
              <w:rPr>
                <w:color w:val="1A1A1A"/>
                <w:sz w:val="19"/>
              </w:rPr>
              <w:t>One report is not a sample</w:t>
            </w:r>
          </w:p>
        </w:tc>
        <w:tc>
          <w:tcPr>
            <w:tcW w:type="dxa" w:w="6803"/>
            <w:shd w:val="clear" w:color="auto" w:fill="F1F5F6"/>
          </w:tcPr>
          <w:p>
            <w:pPr>
              <w:spacing w:after="0" w:before="0"/>
            </w:pPr>
            <w:r/>
            <w:r>
              <w:rPr>
                <w:color w:val="1A1A1A"/>
                <w:sz w:val="19"/>
              </w:rPr>
              <w:t>Layout varies between companies and is the largest remaining unknown. Three to five reports before any accuracy claim is made externally.</w:t>
            </w:r>
          </w:p>
        </w:tc>
      </w:tr>
      <w:tr>
        <w:trPr>
          <w:cantSplit/>
        </w:trPr>
        <w:tc>
          <w:tcPr>
            <w:tcW w:type="dxa" w:w="2608"/>
          </w:tcPr>
          <w:p>
            <w:pPr>
              <w:spacing w:after="0" w:before="0"/>
            </w:pPr>
            <w:r/>
            <w:r>
              <w:rPr>
                <w:color w:val="1A1A1A"/>
                <w:sz w:val="19"/>
              </w:rPr>
              <w:t>No audit trail leaves the app</w:t>
            </w:r>
          </w:p>
        </w:tc>
        <w:tc>
          <w:tcPr>
            <w:tcW w:type="dxa" w:w="6803"/>
          </w:tcPr>
          <w:p>
            <w:pPr>
              <w:spacing w:after="0" w:before="0"/>
            </w:pPr>
            <w:r/>
            <w:r>
              <w:rPr>
                <w:color w:val="1A1A1A"/>
                <w:sz w:val="19"/>
              </w:rPr>
              <w:t>See below. This is the largest missed opportunity, and the cheapest to close.</w:t>
            </w:r>
          </w:p>
        </w:tc>
      </w:tr>
    </w:tbl>
    <w:p>
      <w:pPr>
        <w:spacing w:after="40"/>
      </w:pPr>
    </w:p>
    <w:p>
      <w:pPr>
        <w:keepNext/>
        <w:spacing w:before="240" w:after="60"/>
      </w:pPr>
      <w:r>
        <w:rPr>
          <w:b/>
          <w:color w:val="1A1A1A"/>
          <w:sz w:val="23"/>
        </w:rPr>
        <w:t>The audit trail is the saleable artefact</w:t>
      </w:r>
    </w:p>
    <w:p>
      <w:pPr>
        <w:spacing w:after="160"/>
      </w:pPr>
      <w:r>
        <w:rPr>
          <w:b/>
          <w:i w:val="0"/>
          <w:color w:val="1A1A1A"/>
          <w:sz w:val="21"/>
        </w:rPr>
        <w:t xml:space="preserve">For an investor relations team, the record of where each figure came from and who approved it is worth more than the profile page. </w:t>
      </w:r>
      <w:r>
        <w:rPr>
          <w:b w:val="0"/>
          <w:i w:val="0"/>
          <w:color w:val="1A1A1A"/>
          <w:sz w:val="21"/>
        </w:rPr>
        <w:t>Every figure, the page it was read from, whether it came from a table or narrative text, the confidence, what the extractor originally produced, what a human corrected it to, and who approved it when. That file is the answer to “where did this number come from?”, and it turns the provenance argument from a claim into a document that can be handed to a client or an auditor.</w:t>
      </w:r>
    </w:p>
    <w:p>
      <w:pPr>
        <w:spacing w:after="160"/>
      </w:pPr>
      <w:r>
        <w:rPr>
          <w:i w:val="0"/>
          <w:color w:val="1A1A1A"/>
          <w:sz w:val="21"/>
        </w:rPr>
        <w:t>It is also the cheapest item on the list. The data already exists inside the application; it simply never leaves.</w:t>
      </w:r>
    </w:p>
    <w:p>
      <w:pPr>
        <w:spacing w:after="160"/>
      </w:pPr>
      <w:r>
        <w:rPr>
          <w:b/>
          <w:i w:val="0"/>
          <w:color w:val="1A1A1A"/>
          <w:sz w:val="21"/>
        </w:rPr>
        <w:t xml:space="preserve">One consequence worth stating plainly: the defensible asset is not the extractor. </w:t>
      </w:r>
      <w:r>
        <w:rPr>
          <w:b w:val="0"/>
          <w:i w:val="0"/>
          <w:color w:val="1A1A1A"/>
          <w:sz w:val="21"/>
        </w:rPr>
        <w:t>Reading a PDF is commodity work and will only get easier. What a competitor cannot assemble in a weekend is the accumulated mapping between BRSR indicators, GRI disclosures and IFC Performance Standards, each traceable to a named public document, together with the exclusions learned by seeing what the obvious approach produced. The audit trail is what makes that asset visible to a buyer.</w:t>
      </w:r>
    </w:p>
    <w:p>
      <w:pPr>
        <w:keepNext/>
        <w:spacing w:before="240" w:after="60"/>
      </w:pPr>
      <w:r>
        <w:rPr>
          <w:b/>
          <w:color w:val="1A1A1A"/>
          <w:sz w:val="23"/>
        </w:rPr>
        <w:t>Requested at the GTM review of 21 August 2026</w:t>
      </w:r>
    </w:p>
    <w:p>
      <w:pPr>
        <w:spacing w:after="160"/>
      </w:pPr>
      <w:r>
        <w:rPr>
          <w:i w:val="0"/>
          <w:color w:val="1A1A1A"/>
          <w:sz w:val="21"/>
        </w:rPr>
        <w:t>Six requests were raised. Most are closer to done than the discussion assumed.</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706"/>
        <w:gridCol w:w="4706"/>
      </w:tblGrid>
      <w:tr>
        <w:trPr>
          <w:cantSplit/>
          <w:tblHeader w:val="true"/>
        </w:trPr>
        <w:tc>
          <w:tcPr>
            <w:tcW w:type="dxa" w:w="2608"/>
            <w:shd w:val="clear" w:color="auto" w:fill="0F4C5C"/>
          </w:tcPr>
          <w:p>
            <w:pPr>
              <w:spacing w:after="0" w:before="0"/>
            </w:pPr>
            <w:r/>
            <w:r>
              <w:rPr>
                <w:b/>
                <w:color w:val="FFFFFF"/>
                <w:sz w:val="19"/>
              </w:rPr>
              <w:t>Request</w:t>
            </w:r>
          </w:p>
        </w:tc>
        <w:tc>
          <w:tcPr>
            <w:tcW w:type="dxa" w:w="6803"/>
            <w:shd w:val="clear" w:color="auto" w:fill="0F4C5C"/>
          </w:tcPr>
          <w:p>
            <w:pPr>
              <w:spacing w:after="0" w:before="0"/>
            </w:pPr>
            <w:r/>
            <w:r>
              <w:rPr>
                <w:b/>
                <w:color w:val="FFFFFF"/>
                <w:sz w:val="19"/>
              </w:rPr>
              <w:t>Position</w:t>
            </w:r>
          </w:p>
        </w:tc>
      </w:tr>
      <w:tr>
        <w:trPr>
          <w:cantSplit/>
        </w:trPr>
        <w:tc>
          <w:tcPr>
            <w:tcW w:type="dxa" w:w="2608"/>
          </w:tcPr>
          <w:p>
            <w:pPr>
              <w:spacing w:after="0" w:before="0"/>
            </w:pPr>
            <w:r/>
            <w:r>
              <w:rPr>
                <w:color w:val="1A1A1A"/>
                <w:sz w:val="19"/>
              </w:rPr>
              <w:t>Trend lines across indicators</w:t>
            </w:r>
          </w:p>
        </w:tc>
        <w:tc>
          <w:tcPr>
            <w:tcW w:type="dxa" w:w="6803"/>
          </w:tcPr>
          <w:p>
            <w:pPr>
              <w:spacing w:after="0" w:before="0"/>
            </w:pPr>
            <w:r/>
            <w:r>
              <w:rPr>
                <w:color w:val="1A1A1A"/>
                <w:sz w:val="19"/>
              </w:rPr>
              <w:t>BUILT. 45 series were derived from the year-tagged figures — 32 charted as columns, 13 shown as a change statement. A discontinuity guard flags any series jumping threefold or more between years: the GHG emissions series would otherwise have shown a false twelvefold rise, because 2024 excludes Scope 3 and later years include it.</w:t>
            </w:r>
          </w:p>
        </w:tc>
      </w:tr>
      <w:tr>
        <w:trPr>
          <w:cantSplit/>
        </w:trPr>
        <w:tc>
          <w:tcPr>
            <w:tcW w:type="dxa" w:w="2608"/>
            <w:shd w:val="clear" w:color="auto" w:fill="F1F5F6"/>
          </w:tcPr>
          <w:p>
            <w:pPr>
              <w:spacing w:after="0" w:before="0"/>
            </w:pPr>
            <w:r/>
            <w:r>
              <w:rPr>
                <w:color w:val="1A1A1A"/>
                <w:sz w:val="19"/>
              </w:rPr>
              <w:t>Company screener</w:t>
            </w:r>
          </w:p>
        </w:tc>
        <w:tc>
          <w:tcPr>
            <w:tcW w:type="dxa" w:w="6803"/>
            <w:shd w:val="clear" w:color="auto" w:fill="F1F5F6"/>
          </w:tcPr>
          <w:p>
            <w:pPr>
              <w:spacing w:after="0" w:before="0"/>
            </w:pPr>
            <w:r/>
            <w:r>
              <w:rPr>
                <w:color w:val="1A1A1A"/>
                <w:sz w:val="19"/>
              </w:rPr>
              <w:t>Mostly present already: listing exchange, paid-up capital, employee count, incorporation year, address and business activities. Live share price is out — it needs a server, and under the agreed annual refresh it would be stale and misleading.</w:t>
            </w:r>
          </w:p>
        </w:tc>
      </w:tr>
      <w:tr>
        <w:trPr>
          <w:cantSplit/>
        </w:trPr>
        <w:tc>
          <w:tcPr>
            <w:tcW w:type="dxa" w:w="2608"/>
          </w:tcPr>
          <w:p>
            <w:pPr>
              <w:spacing w:after="0" w:before="0"/>
            </w:pPr>
            <w:r/>
            <w:r>
              <w:rPr>
                <w:color w:val="1A1A1A"/>
                <w:sz w:val="19"/>
              </w:rPr>
              <w:t>ESG ratings</w:t>
            </w:r>
          </w:p>
        </w:tc>
        <w:tc>
          <w:tcPr>
            <w:tcW w:type="dxa" w:w="6803"/>
          </w:tcPr>
          <w:p>
            <w:pPr>
              <w:spacing w:after="0" w:before="0"/>
            </w:pPr>
            <w:r/>
            <w:r>
              <w:rPr>
                <w:color w:val="1A1A1A"/>
                <w:sz w:val="19"/>
              </w:rPr>
              <w:t>Eleven already present, disclosed by the company itself. EcoVadis is the exception: scorecards are confidential, sharing is authorised per partner, and validity lapses after twelve months.</w:t>
            </w:r>
          </w:p>
        </w:tc>
      </w:tr>
      <w:tr>
        <w:trPr>
          <w:cantSplit/>
        </w:trPr>
        <w:tc>
          <w:tcPr>
            <w:tcW w:type="dxa" w:w="2608"/>
            <w:shd w:val="clear" w:color="auto" w:fill="F1F5F6"/>
          </w:tcPr>
          <w:p>
            <w:pPr>
              <w:spacing w:after="0" w:before="0"/>
            </w:pPr>
            <w:r/>
            <w:r>
              <w:rPr>
                <w:color w:val="1A1A1A"/>
                <w:sz w:val="19"/>
              </w:rPr>
              <w:t>Framework tagging (CDP, GRI, EU Taxonomy, IFC)</w:t>
            </w:r>
          </w:p>
        </w:tc>
        <w:tc>
          <w:tcPr>
            <w:tcW w:type="dxa" w:w="6803"/>
            <w:shd w:val="clear" w:color="auto" w:fill="F1F5F6"/>
          </w:tcPr>
          <w:p>
            <w:pPr>
              <w:spacing w:after="0" w:before="0"/>
            </w:pPr>
            <w:r/>
            <w:r>
              <w:rPr>
                <w:color w:val="1A1A1A"/>
                <w:sz w:val="19"/>
              </w:rPr>
              <w:t>The filter is trivial; mapping 663 rows to each framework is professional judgment and the real cost. GRI licensing must be settled first — commercial use in software goes through GRI's licensing programme.</w:t>
            </w:r>
          </w:p>
        </w:tc>
      </w:tr>
      <w:tr>
        <w:trPr>
          <w:cantSplit/>
        </w:trPr>
        <w:tc>
          <w:tcPr>
            <w:tcW w:type="dxa" w:w="2608"/>
          </w:tcPr>
          <w:p>
            <w:pPr>
              <w:spacing w:after="0" w:before="0"/>
            </w:pPr>
            <w:r/>
            <w:r>
              <w:rPr>
                <w:color w:val="1A1A1A"/>
                <w:sz w:val="19"/>
              </w:rPr>
              <w:t>Annual update cadence</w:t>
            </w:r>
          </w:p>
        </w:tc>
        <w:tc>
          <w:tcPr>
            <w:tcW w:type="dxa" w:w="6803"/>
          </w:tcPr>
          <w:p>
            <w:pPr>
              <w:spacing w:after="0" w:before="0"/>
            </w:pPr>
            <w:r/>
            <w:r>
              <w:rPr>
                <w:color w:val="1A1A1A"/>
                <w:sz w:val="19"/>
              </w:rPr>
              <w:t>Already how the system works. No work required.</w:t>
            </w:r>
          </w:p>
        </w:tc>
      </w:tr>
      <w:tr>
        <w:trPr>
          <w:cantSplit/>
        </w:trPr>
        <w:tc>
          <w:tcPr>
            <w:tcW w:type="dxa" w:w="2608"/>
            <w:shd w:val="clear" w:color="auto" w:fill="F1F5F6"/>
          </w:tcPr>
          <w:p>
            <w:pPr>
              <w:spacing w:after="0" w:before="0"/>
            </w:pPr>
            <w:r/>
            <w:r>
              <w:rPr>
                <w:color w:val="1A1A1A"/>
                <w:sz w:val="19"/>
              </w:rPr>
              <w:t>Both hosting options</w:t>
            </w:r>
          </w:p>
        </w:tc>
        <w:tc>
          <w:tcPr>
            <w:tcW w:type="dxa" w:w="6803"/>
            <w:shd w:val="clear" w:color="auto" w:fill="F1F5F6"/>
          </w:tcPr>
          <w:p>
            <w:pPr>
              <w:spacing w:after="0" w:before="0"/>
            </w:pPr>
            <w:r/>
            <w:r>
              <w:rPr>
                <w:color w:val="1A1A1A"/>
                <w:sz w:val="19"/>
              </w:rPr>
              <w:t>Already true — the folder opens by double-click and runs unchanged on any static host.</w:t>
            </w:r>
          </w:p>
        </w:tc>
      </w:tr>
    </w:tbl>
    <w:p>
      <w:pPr>
        <w:spacing w:after="40"/>
      </w:pPr>
    </w:p>
    <w:p>
      <w:pPr>
        <w:keepNext/>
        <w:pageBreakBefore w:val="0"/>
        <w:spacing w:before="400" w:after="40"/>
        <w:pBdr>
          <w:bottom w:val="single" w:sz="8" w:space="4" w:color="BFD3D8"/>
        </w:pBdr>
      </w:pPr>
      <w:r>
        <w:rPr>
          <w:b/>
          <w:color w:val="0F4C5C"/>
          <w:sz w:val="30"/>
        </w:rPr>
        <w:t>8.  Competitive Landscape and Differentiation</w:t>
      </w:r>
    </w:p>
    <w:p>
      <w:pPr>
        <w:spacing w:after="160"/>
      </w:pPr>
      <w:r>
        <w:rPr>
          <w:i w:val="0"/>
          <w:color w:val="1A1A1A"/>
          <w:sz w:val="21"/>
        </w:rPr>
        <w:t>Two adjacent categories exist, and they are not equally threatening.</w:t>
      </w:r>
    </w:p>
    <w:p>
      <w:pPr>
        <w:keepNext/>
        <w:spacing w:before="240" w:after="60"/>
      </w:pPr>
      <w:r>
        <w:rPr>
          <w:b/>
          <w:color w:val="1A1A1A"/>
          <w:sz w:val="23"/>
        </w:rPr>
        <w:t>Category A — ESG data collection and report generation</w:t>
      </w:r>
    </w:p>
    <w:p>
      <w:pPr>
        <w:spacing w:after="160"/>
      </w:pPr>
      <w:r>
        <w:rPr>
          <w:i w:val="0"/>
          <w:color w:val="1A1A1A"/>
          <w:sz w:val="21"/>
        </w:rPr>
        <w:t>Vendors including SustainableX, Sentra, Benchmark Gensuite and SAM Corporate help companies gather ESG data, calculate emissions and produce a compliant BRSR. This is a crowded and well-funded space, but it solves the opposite half of the problem: it ends where the report is filed. This product begins there. These are more plausibly partners or an eventual acquisition route than competitors.</w:t>
      </w:r>
    </w:p>
    <w:p>
      <w:pPr>
        <w:keepNext/>
        <w:spacing w:before="240" w:after="60"/>
      </w:pPr>
      <w:r>
        <w:rPr>
          <w:b/>
          <w:color w:val="1A1A1A"/>
          <w:sz w:val="23"/>
        </w:rPr>
        <w:t>Category B — ESG and IR profile hosting</w:t>
      </w:r>
    </w:p>
    <w:p>
      <w:pPr>
        <w:spacing w:after="160"/>
      </w:pPr>
      <w:r>
        <w:rPr>
          <w:b/>
          <w:i w:val="0"/>
          <w:color w:val="1A1A1A"/>
          <w:sz w:val="21"/>
        </w:rPr>
        <w:t xml:space="preserve">This is the real competitive question. </w:t>
      </w:r>
      <w:r>
        <w:rPr>
          <w:b w:val="0"/>
          <w:i w:val="0"/>
          <w:color w:val="1A1A1A"/>
          <w:sz w:val="21"/>
        </w:rPr>
        <w:t>Churchgate Partners, an investor relations advisory firm founded in 2009, already operates a platform hosting ESG profiles for Indian listed companies, with a benchmarking database evaluating performance against a large set of metrics. The pilot dataset used to build Phase 1 was exported from that platform. The incumbent is not hypothetical — it is established, IR-relationship-led, and demonstrably already serving the target buyer.</w:t>
      </w:r>
    </w:p>
    <w:p>
      <w:pPr>
        <w:spacing w:after="160"/>
      </w:pPr>
      <w:r>
        <w:rPr>
          <w:i w:val="0"/>
          <w:color w:val="1A1A1A"/>
          <w:sz w:val="21"/>
        </w:rPr>
        <w:t>Candidate differentiators, none of which is yet validated:</w:t>
      </w:r>
    </w:p>
    <w:p>
      <w:pPr>
        <w:pStyle w:val="ListBullet"/>
        <w:spacing w:after="80"/>
        <w:ind w:left="340"/>
      </w:pPr>
      <w:r>
        <w:rPr>
          <w:b/>
          <w:color w:val="1A1A1A"/>
          <w:sz w:val="21"/>
        </w:rPr>
        <w:t xml:space="preserve">Channel:  </w:t>
      </w:r>
      <w:r>
        <w:rPr>
          <w:color w:val="1A1A1A"/>
          <w:sz w:val="21"/>
        </w:rPr>
        <w:t>delivered as part of a sustainability consulting engagement rather than an investor relations retainer, reaching companies through a different door.</w:t>
      </w:r>
    </w:p>
    <w:p>
      <w:pPr>
        <w:pStyle w:val="ListBullet"/>
        <w:spacing w:after="80"/>
        <w:ind w:left="340"/>
      </w:pPr>
      <w:r>
        <w:rPr>
          <w:b/>
          <w:color w:val="1A1A1A"/>
          <w:sz w:val="21"/>
        </w:rPr>
        <w:t xml:space="preserve">Segment:  </w:t>
      </w:r>
      <w:r>
        <w:rPr>
          <w:color w:val="1A1A1A"/>
          <w:sz w:val="21"/>
        </w:rPr>
        <w:t>companies ranked below the top 500 face the same obligations with materially smaller budgets and are less likely to hold an IR advisory relationship.</w:t>
      </w:r>
    </w:p>
    <w:p>
      <w:pPr>
        <w:pStyle w:val="ListBullet"/>
        <w:spacing w:after="80"/>
        <w:ind w:left="340"/>
      </w:pPr>
      <w:r>
        <w:rPr>
          <w:b/>
          <w:color w:val="1A1A1A"/>
          <w:sz w:val="21"/>
        </w:rPr>
        <w:t xml:space="preserve">Ownership:  </w:t>
      </w:r>
      <w:r>
        <w:rPr>
          <w:color w:val="1A1A1A"/>
          <w:sz w:val="21"/>
        </w:rPr>
        <w:t>a profile that carries the company's own branding and lives on the company's own domain, rather than a third-party platform under the vendor's brand.</w:t>
      </w:r>
    </w:p>
    <w:p>
      <w:pPr>
        <w:pStyle w:val="ListBullet"/>
        <w:spacing w:after="80"/>
        <w:ind w:left="340"/>
      </w:pPr>
      <w:r>
        <w:rPr>
          <w:b/>
          <w:color w:val="1A1A1A"/>
          <w:sz w:val="21"/>
        </w:rPr>
        <w:t xml:space="preserve">Speed:  </w:t>
      </w:r>
      <w:r>
        <w:rPr>
          <w:color w:val="1A1A1A"/>
          <w:sz w:val="21"/>
        </w:rPr>
        <w:t>assisted extraction in Phase 3 turning a profile around in days rather than through a manual analyst process.</w:t>
      </w:r>
    </w:p>
    <w:p>
      <w:pPr>
        <w:spacing w:after="160"/>
      </w:pPr>
      <w:r>
        <w:rPr>
          <w:b/>
          <w:i w:val="0"/>
          <w:color w:val="1A1A1A"/>
          <w:sz w:val="21"/>
        </w:rPr>
        <w:t xml:space="preserve">Recommended next action.  </w:t>
      </w:r>
      <w:r>
        <w:rPr>
          <w:b w:val="0"/>
          <w:i w:val="0"/>
          <w:color w:val="1A1A1A"/>
          <w:sz w:val="21"/>
        </w:rPr>
        <w:t>Before Phase 2 is committed, establish what an incumbent profile costs a company, what it includes, and why a company might choose otherwise. That is primary research — talking to two or three companies already on such a platform — not desk research. Published pricing for comparable Indian ESG platforms is not generally available, so this cannot be resolved from public sources.</w:t>
      </w:r>
    </w:p>
    <w:p>
      <w:pPr>
        <w:keepNext/>
        <w:pageBreakBefore w:val="0"/>
        <w:spacing w:before="400" w:after="40"/>
        <w:pBdr>
          <w:bottom w:val="single" w:sz="8" w:space="4" w:color="BFD3D8"/>
        </w:pBdr>
      </w:pPr>
      <w:r>
        <w:rPr>
          <w:b/>
          <w:color w:val="0F4C5C"/>
          <w:sz w:val="30"/>
        </w:rPr>
        <w:t>9.  Commercial Model</w:t>
      </w:r>
    </w:p>
    <w:p>
      <w:pPr>
        <w:spacing w:after="160"/>
      </w:pPr>
      <w:r>
        <w:rPr>
          <w:i w:val="0"/>
          <w:color w:val="1A1A1A"/>
          <w:sz w:val="21"/>
        </w:rPr>
        <w:t>Undecided, and deliberately left open. Three routes are plausible and they imply different products.</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2041"/>
            <w:shd w:val="clear" w:color="auto" w:fill="0F4C5C"/>
          </w:tcPr>
          <w:p>
            <w:pPr>
              <w:spacing w:after="0" w:before="0"/>
            </w:pPr>
            <w:r/>
            <w:r>
              <w:rPr>
                <w:b/>
                <w:color w:val="FFFFFF"/>
                <w:sz w:val="19"/>
              </w:rPr>
              <w:t>Route</w:t>
            </w:r>
          </w:p>
        </w:tc>
        <w:tc>
          <w:tcPr>
            <w:tcW w:type="dxa" w:w="3685"/>
            <w:shd w:val="clear" w:color="auto" w:fill="0F4C5C"/>
          </w:tcPr>
          <w:p>
            <w:pPr>
              <w:spacing w:after="0" w:before="0"/>
            </w:pPr>
            <w:r/>
            <w:r>
              <w:rPr>
                <w:b/>
                <w:color w:val="FFFFFF"/>
                <w:sz w:val="19"/>
              </w:rPr>
              <w:t>How it works</w:t>
            </w:r>
          </w:p>
        </w:tc>
        <w:tc>
          <w:tcPr>
            <w:tcW w:type="dxa" w:w="3685"/>
            <w:shd w:val="clear" w:color="auto" w:fill="0F4C5C"/>
          </w:tcPr>
          <w:p>
            <w:pPr>
              <w:spacing w:after="0" w:before="0"/>
            </w:pPr>
            <w:r/>
            <w:r>
              <w:rPr>
                <w:b/>
                <w:color w:val="FFFFFF"/>
                <w:sz w:val="19"/>
              </w:rPr>
              <w:t>Implication</w:t>
            </w:r>
          </w:p>
        </w:tc>
      </w:tr>
      <w:tr>
        <w:trPr>
          <w:cantSplit/>
        </w:trPr>
        <w:tc>
          <w:tcPr>
            <w:tcW w:type="dxa" w:w="2041"/>
          </w:tcPr>
          <w:p>
            <w:pPr>
              <w:spacing w:after="0" w:before="0"/>
            </w:pPr>
            <w:r/>
            <w:r>
              <w:rPr>
                <w:color w:val="1A1A1A"/>
                <w:sz w:val="19"/>
              </w:rPr>
              <w:t>Annual licence to the company</w:t>
            </w:r>
          </w:p>
        </w:tc>
        <w:tc>
          <w:tcPr>
            <w:tcW w:type="dxa" w:w="3685"/>
          </w:tcPr>
          <w:p>
            <w:pPr>
              <w:spacing w:after="0" w:before="0"/>
            </w:pPr>
            <w:r/>
            <w:r>
              <w:rPr>
                <w:color w:val="1A1A1A"/>
                <w:sz w:val="19"/>
              </w:rPr>
              <w:t>The company pays to have its profile prepared, hosted and refreshed each reporting cycle.</w:t>
            </w:r>
          </w:p>
        </w:tc>
        <w:tc>
          <w:tcPr>
            <w:tcW w:type="dxa" w:w="3685"/>
          </w:tcPr>
          <w:p>
            <w:pPr>
              <w:spacing w:after="0" w:before="0"/>
            </w:pPr>
            <w:r/>
            <w:r>
              <w:rPr>
                <w:color w:val="1A1A1A"/>
                <w:sz w:val="19"/>
              </w:rPr>
              <w:t>Recurring revenue tied to the annual reporting calendar. Requires Phase 2 hosting before it can be sold.</w:t>
            </w:r>
          </w:p>
        </w:tc>
      </w:tr>
      <w:tr>
        <w:trPr>
          <w:cantSplit/>
        </w:trPr>
        <w:tc>
          <w:tcPr>
            <w:tcW w:type="dxa" w:w="2041"/>
            <w:shd w:val="clear" w:color="auto" w:fill="F1F5F6"/>
          </w:tcPr>
          <w:p>
            <w:pPr>
              <w:spacing w:after="0" w:before="0"/>
            </w:pPr>
            <w:r/>
            <w:r>
              <w:rPr>
                <w:color w:val="1A1A1A"/>
                <w:sz w:val="19"/>
              </w:rPr>
              <w:t>Consultant-delivered add-on</w:t>
            </w:r>
          </w:p>
        </w:tc>
        <w:tc>
          <w:tcPr>
            <w:tcW w:type="dxa" w:w="3685"/>
            <w:shd w:val="clear" w:color="auto" w:fill="F1F5F6"/>
          </w:tcPr>
          <w:p>
            <w:pPr>
              <w:spacing w:after="0" w:before="0"/>
            </w:pPr>
            <w:r/>
            <w:r>
              <w:rPr>
                <w:color w:val="1A1A1A"/>
                <w:sz w:val="19"/>
              </w:rPr>
              <w:t>The profile is a deliverable inside a broader sustainability engagement, priced into the engagement.</w:t>
            </w:r>
          </w:p>
        </w:tc>
        <w:tc>
          <w:tcPr>
            <w:tcW w:type="dxa" w:w="3685"/>
            <w:shd w:val="clear" w:color="auto" w:fill="F1F5F6"/>
          </w:tcPr>
          <w:p>
            <w:pPr>
              <w:spacing w:after="0" w:before="0"/>
            </w:pPr>
            <w:r/>
            <w:r>
              <w:rPr>
                <w:color w:val="1A1A1A"/>
                <w:sz w:val="19"/>
              </w:rPr>
              <w:t>Fastest to first revenue and needs only Phase 1. Does not scale beyond the consultant's own capacity.</w:t>
            </w:r>
          </w:p>
        </w:tc>
      </w:tr>
      <w:tr>
        <w:trPr>
          <w:cantSplit/>
        </w:trPr>
        <w:tc>
          <w:tcPr>
            <w:tcW w:type="dxa" w:w="2041"/>
          </w:tcPr>
          <w:p>
            <w:pPr>
              <w:spacing w:after="0" w:before="0"/>
            </w:pPr>
            <w:r/>
            <w:r>
              <w:rPr>
                <w:color w:val="1A1A1A"/>
                <w:sz w:val="19"/>
              </w:rPr>
              <w:t>Investor-side subscription</w:t>
            </w:r>
          </w:p>
        </w:tc>
        <w:tc>
          <w:tcPr>
            <w:tcW w:type="dxa" w:w="3685"/>
          </w:tcPr>
          <w:p>
            <w:pPr>
              <w:spacing w:after="0" w:before="0"/>
            </w:pPr>
            <w:r/>
            <w:r>
              <w:rPr>
                <w:color w:val="1A1A1A"/>
                <w:sz w:val="19"/>
              </w:rPr>
              <w:t>Analysts and investors pay for access across many company profiles.</w:t>
            </w:r>
          </w:p>
        </w:tc>
        <w:tc>
          <w:tcPr>
            <w:tcW w:type="dxa" w:w="3685"/>
          </w:tcPr>
          <w:p>
            <w:pPr>
              <w:spacing w:after="0" w:before="0"/>
            </w:pPr>
            <w:r/>
            <w:r>
              <w:rPr>
                <w:color w:val="1A1A1A"/>
                <w:sz w:val="19"/>
              </w:rPr>
              <w:t>Only viable at scale, after Phase 4. Changes the customer entirely and would compete directly with established data vendors.</w:t>
            </w:r>
          </w:p>
        </w:tc>
      </w:tr>
    </w:tbl>
    <w:p>
      <w:pPr>
        <w:spacing w:after="40"/>
      </w:pPr>
    </w:p>
    <w:p>
      <w:pPr>
        <w:keepNext/>
        <w:spacing w:before="240" w:after="60"/>
      </w:pPr>
      <w:r>
        <w:rPr>
          <w:b/>
          <w:color w:val="1A1A1A"/>
          <w:sz w:val="23"/>
        </w:rPr>
        <w:t>Price point and what it implies</w:t>
      </w:r>
    </w:p>
    <w:p>
      <w:pPr>
        <w:spacing w:after="160"/>
      </w:pPr>
      <w:r>
        <w:rPr>
          <w:i w:val="0"/>
          <w:color w:val="1A1A1A"/>
          <w:sz w:val="21"/>
        </w:rPr>
        <w:t>A price of Rs 25,000 to 30,000 per company per year was proposed at the GTM review of 21 August 2026, revised down from an initial Rs 50,000 on the view that the lower band sits better with customer expectations.</w:t>
      </w:r>
    </w:p>
    <w:p>
      <w:pPr>
        <w:spacing w:after="160"/>
      </w:pPr>
      <w:r>
        <w:rPr>
          <w:b/>
          <w:i w:val="0"/>
          <w:color w:val="1A1A1A"/>
          <w:sz w:val="21"/>
        </w:rPr>
        <w:t xml:space="preserve">That price and the requested feature list are in tension, and the tension is the useful signal. </w:t>
      </w:r>
      <w:r>
        <w:rPr>
          <w:b w:val="0"/>
          <w:i w:val="0"/>
          <w:color w:val="1A1A1A"/>
          <w:sz w:val="21"/>
        </w:rPr>
        <w:t>Every item raised — ratings entry, framework mapping, screener fields, the annual refresh — adds manual preparation per company. At this price, two days of preparation consumes the entire fee. That points the same way the roadmap already does: assisted extraction is not an enhancement, it is what makes the economics work at all. Until it exists, the number of companies that can be served is capped by preparation time, not by demand.</w:t>
      </w:r>
    </w:p>
    <w:p>
      <w:pPr>
        <w:spacing w:after="160"/>
      </w:pPr>
      <w:r>
        <w:rPr>
          <w:i w:val="0"/>
          <w:color w:val="1A1A1A"/>
          <w:sz w:val="21"/>
        </w:rPr>
        <w:t>The consultant-delivered route is the natural starting point: it validates willingness to pay using only the build already complete, and it does not foreclose the licence model later.</w:t>
      </w:r>
    </w:p>
    <w:p>
      <w:pPr>
        <w:keepNext/>
        <w:pageBreakBefore w:val="0"/>
        <w:spacing w:before="400" w:after="40"/>
        <w:pBdr>
          <w:bottom w:val="single" w:sz="8" w:space="4" w:color="BFD3D8"/>
        </w:pBdr>
      </w:pPr>
      <w:r>
        <w:rPr>
          <w:b/>
          <w:color w:val="0F4C5C"/>
          <w:sz w:val="30"/>
        </w:rPr>
        <w:t>10.  Success Measures</w:t>
      </w:r>
    </w:p>
    <w:p>
      <w:pPr>
        <w:spacing w:after="160"/>
      </w:pPr>
      <w:r>
        <w:rPr>
          <w:i w:val="0"/>
          <w:color w:val="1A1A1A"/>
          <w:sz w:val="21"/>
        </w:rPr>
        <w:t>Proposed rather than agreed — these need the author's own targets before they mean anything.</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1020"/>
            <w:shd w:val="clear" w:color="auto" w:fill="0F4C5C"/>
          </w:tcPr>
          <w:p>
            <w:pPr>
              <w:spacing w:after="0" w:before="0"/>
            </w:pPr>
            <w:r/>
            <w:r>
              <w:rPr>
                <w:b/>
                <w:color w:val="FFFFFF"/>
                <w:sz w:val="19"/>
              </w:rPr>
              <w:t>Phase</w:t>
            </w:r>
          </w:p>
        </w:tc>
        <w:tc>
          <w:tcPr>
            <w:tcW w:type="dxa" w:w="4762"/>
            <w:shd w:val="clear" w:color="auto" w:fill="0F4C5C"/>
          </w:tcPr>
          <w:p>
            <w:pPr>
              <w:spacing w:after="0" w:before="0"/>
            </w:pPr>
            <w:r/>
            <w:r>
              <w:rPr>
                <w:b/>
                <w:color w:val="FFFFFF"/>
                <w:sz w:val="19"/>
              </w:rPr>
              <w:t>Measure</w:t>
            </w:r>
          </w:p>
        </w:tc>
        <w:tc>
          <w:tcPr>
            <w:tcW w:type="dxa" w:w="3628"/>
            <w:shd w:val="clear" w:color="auto" w:fill="0F4C5C"/>
          </w:tcPr>
          <w:p>
            <w:pPr>
              <w:spacing w:after="0" w:before="0"/>
            </w:pPr>
            <w:r/>
            <w:r>
              <w:rPr>
                <w:b/>
                <w:color w:val="FFFFFF"/>
                <w:sz w:val="19"/>
              </w:rPr>
              <w:t>Proposed threshold</w:t>
            </w:r>
          </w:p>
        </w:tc>
      </w:tr>
      <w:tr>
        <w:trPr>
          <w:cantSplit/>
        </w:trPr>
        <w:tc>
          <w:tcPr>
            <w:tcW w:type="dxa" w:w="1020"/>
          </w:tcPr>
          <w:p>
            <w:pPr>
              <w:spacing w:after="0" w:before="0"/>
            </w:pPr>
            <w:r/>
            <w:r>
              <w:rPr>
                <w:color w:val="1A1A1A"/>
                <w:sz w:val="19"/>
              </w:rPr>
              <w:t>1</w:t>
            </w:r>
          </w:p>
        </w:tc>
        <w:tc>
          <w:tcPr>
            <w:tcW w:type="dxa" w:w="4762"/>
          </w:tcPr>
          <w:p>
            <w:pPr>
              <w:spacing w:after="0" w:before="0"/>
            </w:pPr>
            <w:r/>
            <w:r>
              <w:rPr>
                <w:color w:val="1A1A1A"/>
                <w:sz w:val="19"/>
              </w:rPr>
              <w:t>Client demonstrations delivered using the viewer</w:t>
            </w:r>
          </w:p>
        </w:tc>
        <w:tc>
          <w:tcPr>
            <w:tcW w:type="dxa" w:w="3628"/>
          </w:tcPr>
          <w:p>
            <w:pPr>
              <w:spacing w:after="0" w:before="0"/>
            </w:pPr>
            <w:r/>
            <w:r>
              <w:rPr>
                <w:color w:val="1A1A1A"/>
                <w:sz w:val="19"/>
              </w:rPr>
              <w:t>5 within the first quarter of availability</w:t>
            </w:r>
          </w:p>
        </w:tc>
      </w:tr>
      <w:tr>
        <w:trPr>
          <w:cantSplit/>
        </w:trPr>
        <w:tc>
          <w:tcPr>
            <w:tcW w:type="dxa" w:w="1020"/>
            <w:shd w:val="clear" w:color="auto" w:fill="F1F5F6"/>
          </w:tcPr>
          <w:p>
            <w:pPr>
              <w:spacing w:after="0" w:before="0"/>
            </w:pPr>
            <w:r/>
            <w:r>
              <w:rPr>
                <w:color w:val="1A1A1A"/>
                <w:sz w:val="19"/>
              </w:rPr>
              <w:t>1</w:t>
            </w:r>
          </w:p>
        </w:tc>
        <w:tc>
          <w:tcPr>
            <w:tcW w:type="dxa" w:w="4762"/>
            <w:shd w:val="clear" w:color="auto" w:fill="F1F5F6"/>
          </w:tcPr>
          <w:p>
            <w:pPr>
              <w:spacing w:after="0" w:before="0"/>
            </w:pPr>
            <w:r/>
            <w:r>
              <w:rPr>
                <w:color w:val="1A1A1A"/>
                <w:sz w:val="19"/>
              </w:rPr>
              <w:t>Demonstrations converting to a paid engagement including a profile</w:t>
            </w:r>
          </w:p>
        </w:tc>
        <w:tc>
          <w:tcPr>
            <w:tcW w:type="dxa" w:w="3628"/>
            <w:shd w:val="clear" w:color="auto" w:fill="F1F5F6"/>
          </w:tcPr>
          <w:p>
            <w:pPr>
              <w:spacing w:after="0" w:before="0"/>
            </w:pPr>
            <w:r/>
            <w:r>
              <w:rPr>
                <w:color w:val="1A1A1A"/>
                <w:sz w:val="19"/>
              </w:rPr>
              <w:t>2</w:t>
            </w:r>
          </w:p>
        </w:tc>
      </w:tr>
      <w:tr>
        <w:trPr>
          <w:cantSplit/>
        </w:trPr>
        <w:tc>
          <w:tcPr>
            <w:tcW w:type="dxa" w:w="1020"/>
          </w:tcPr>
          <w:p>
            <w:pPr>
              <w:spacing w:after="0" w:before="0"/>
            </w:pPr>
            <w:r/>
            <w:r>
              <w:rPr>
                <w:color w:val="1A1A1A"/>
                <w:sz w:val="19"/>
              </w:rPr>
              <w:t>1</w:t>
            </w:r>
          </w:p>
        </w:tc>
        <w:tc>
          <w:tcPr>
            <w:tcW w:type="dxa" w:w="4762"/>
          </w:tcPr>
          <w:p>
            <w:pPr>
              <w:spacing w:after="0" w:before="0"/>
            </w:pPr>
            <w:r/>
            <w:r>
              <w:rPr>
                <w:color w:val="1A1A1A"/>
                <w:sz w:val="19"/>
              </w:rPr>
              <w:t>Time for a demo audience member to locate a named figure unaided</w:t>
            </w:r>
          </w:p>
        </w:tc>
        <w:tc>
          <w:tcPr>
            <w:tcW w:type="dxa" w:w="3628"/>
          </w:tcPr>
          <w:p>
            <w:pPr>
              <w:spacing w:after="0" w:before="0"/>
            </w:pPr>
            <w:r/>
            <w:r>
              <w:rPr>
                <w:color w:val="1A1A1A"/>
                <w:sz w:val="19"/>
              </w:rPr>
              <w:t>Under 30 seconds, against several minutes in the source PDF</w:t>
            </w:r>
          </w:p>
        </w:tc>
      </w:tr>
      <w:tr>
        <w:trPr>
          <w:cantSplit/>
        </w:trPr>
        <w:tc>
          <w:tcPr>
            <w:tcW w:type="dxa" w:w="1020"/>
            <w:shd w:val="clear" w:color="auto" w:fill="F1F5F6"/>
          </w:tcPr>
          <w:p>
            <w:pPr>
              <w:spacing w:after="0" w:before="0"/>
            </w:pPr>
            <w:r/>
            <w:r>
              <w:rPr>
                <w:color w:val="1A1A1A"/>
                <w:sz w:val="19"/>
              </w:rPr>
              <w:t>2</w:t>
            </w:r>
          </w:p>
        </w:tc>
        <w:tc>
          <w:tcPr>
            <w:tcW w:type="dxa" w:w="4762"/>
            <w:shd w:val="clear" w:color="auto" w:fill="F1F5F6"/>
          </w:tcPr>
          <w:p>
            <w:pPr>
              <w:spacing w:after="0" w:before="0"/>
            </w:pPr>
            <w:r/>
            <w:r>
              <w:rPr>
                <w:color w:val="1A1A1A"/>
                <w:sz w:val="19"/>
              </w:rPr>
              <w:t>Companies with a hosted, branded profile</w:t>
            </w:r>
          </w:p>
        </w:tc>
        <w:tc>
          <w:tcPr>
            <w:tcW w:type="dxa" w:w="3628"/>
            <w:shd w:val="clear" w:color="auto" w:fill="F1F5F6"/>
          </w:tcPr>
          <w:p>
            <w:pPr>
              <w:spacing w:after="0" w:before="0"/>
            </w:pPr>
            <w:r/>
            <w:r>
              <w:rPr>
                <w:color w:val="1A1A1A"/>
                <w:sz w:val="19"/>
              </w:rPr>
              <w:t>3 paying companies</w:t>
            </w:r>
          </w:p>
        </w:tc>
      </w:tr>
      <w:tr>
        <w:trPr>
          <w:cantSplit/>
        </w:trPr>
        <w:tc>
          <w:tcPr>
            <w:tcW w:type="dxa" w:w="1020"/>
          </w:tcPr>
          <w:p>
            <w:pPr>
              <w:spacing w:after="0" w:before="0"/>
            </w:pPr>
            <w:r/>
            <w:r>
              <w:rPr>
                <w:color w:val="1A1A1A"/>
                <w:sz w:val="19"/>
              </w:rPr>
              <w:t>2</w:t>
            </w:r>
          </w:p>
        </w:tc>
        <w:tc>
          <w:tcPr>
            <w:tcW w:type="dxa" w:w="4762"/>
          </w:tcPr>
          <w:p>
            <w:pPr>
              <w:spacing w:after="0" w:before="0"/>
            </w:pPr>
            <w:r/>
            <w:r>
              <w:rPr>
                <w:color w:val="1A1A1A"/>
                <w:sz w:val="19"/>
              </w:rPr>
              <w:t>Profile refresh turnaround after a new report is published</w:t>
            </w:r>
          </w:p>
        </w:tc>
        <w:tc>
          <w:tcPr>
            <w:tcW w:type="dxa" w:w="3628"/>
          </w:tcPr>
          <w:p>
            <w:pPr>
              <w:spacing w:after="0" w:before="0"/>
            </w:pPr>
            <w:r/>
            <w:r>
              <w:rPr>
                <w:color w:val="1A1A1A"/>
                <w:sz w:val="19"/>
              </w:rPr>
              <w:t>Within 10 working days</w:t>
            </w:r>
          </w:p>
        </w:tc>
      </w:tr>
      <w:tr>
        <w:trPr>
          <w:cantSplit/>
        </w:trPr>
        <w:tc>
          <w:tcPr>
            <w:tcW w:type="dxa" w:w="1020"/>
            <w:shd w:val="clear" w:color="auto" w:fill="F1F5F6"/>
          </w:tcPr>
          <w:p>
            <w:pPr>
              <w:spacing w:after="0" w:before="0"/>
            </w:pPr>
            <w:r/>
            <w:r>
              <w:rPr>
                <w:color w:val="1A1A1A"/>
                <w:sz w:val="19"/>
              </w:rPr>
              <w:t>3</w:t>
            </w:r>
          </w:p>
        </w:tc>
        <w:tc>
          <w:tcPr>
            <w:tcW w:type="dxa" w:w="4762"/>
            <w:shd w:val="clear" w:color="auto" w:fill="F1F5F6"/>
          </w:tcPr>
          <w:p>
            <w:pPr>
              <w:spacing w:after="0" w:before="0"/>
            </w:pPr>
            <w:r/>
            <w:r>
              <w:rPr>
                <w:color w:val="1A1A1A"/>
                <w:sz w:val="19"/>
              </w:rPr>
              <w:t>Proportion of extracted rows requiring no human correction</w:t>
            </w:r>
          </w:p>
        </w:tc>
        <w:tc>
          <w:tcPr>
            <w:tcW w:type="dxa" w:w="3628"/>
            <w:shd w:val="clear" w:color="auto" w:fill="F1F5F6"/>
          </w:tcPr>
          <w:p>
            <w:pPr>
              <w:spacing w:after="0" w:before="0"/>
            </w:pPr>
            <w:r/>
            <w:r>
              <w:rPr>
                <w:color w:val="1A1A1A"/>
                <w:sz w:val="19"/>
              </w:rPr>
              <w:t>70% or better before the capability is offered commercially</w:t>
            </w:r>
          </w:p>
        </w:tc>
      </w:tr>
      <w:tr>
        <w:trPr>
          <w:cantSplit/>
        </w:trPr>
        <w:tc>
          <w:tcPr>
            <w:tcW w:type="dxa" w:w="1020"/>
          </w:tcPr>
          <w:p>
            <w:pPr>
              <w:spacing w:after="0" w:before="0"/>
            </w:pPr>
            <w:r/>
            <w:r>
              <w:rPr>
                <w:color w:val="1A1A1A"/>
                <w:sz w:val="19"/>
              </w:rPr>
              <w:t>3</w:t>
            </w:r>
          </w:p>
        </w:tc>
        <w:tc>
          <w:tcPr>
            <w:tcW w:type="dxa" w:w="4762"/>
          </w:tcPr>
          <w:p>
            <w:pPr>
              <w:spacing w:after="0" w:before="0"/>
            </w:pPr>
            <w:r/>
            <w:r>
              <w:rPr>
                <w:color w:val="1A1A1A"/>
                <w:sz w:val="19"/>
              </w:rPr>
              <w:t>Preparation effort per company profile</w:t>
            </w:r>
          </w:p>
        </w:tc>
        <w:tc>
          <w:tcPr>
            <w:tcW w:type="dxa" w:w="3628"/>
          </w:tcPr>
          <w:p>
            <w:pPr>
              <w:spacing w:after="0" w:before="0"/>
            </w:pPr>
            <w:r/>
            <w:r>
              <w:rPr>
                <w:color w:val="1A1A1A"/>
                <w:sz w:val="19"/>
              </w:rPr>
              <w:t>Reduced by at least half against manual preparation</w:t>
            </w:r>
          </w:p>
        </w:tc>
      </w:tr>
      <w:tr>
        <w:trPr>
          <w:cantSplit/>
        </w:trPr>
        <w:tc>
          <w:tcPr>
            <w:tcW w:type="dxa" w:w="1020"/>
            <w:shd w:val="clear" w:color="auto" w:fill="F1F5F6"/>
          </w:tcPr>
          <w:p>
            <w:pPr>
              <w:spacing w:after="0" w:before="0"/>
            </w:pPr>
            <w:r/>
            <w:r>
              <w:rPr>
                <w:color w:val="1A1A1A"/>
                <w:sz w:val="19"/>
              </w:rPr>
              <w:t>4</w:t>
            </w:r>
          </w:p>
        </w:tc>
        <w:tc>
          <w:tcPr>
            <w:tcW w:type="dxa" w:w="4762"/>
            <w:shd w:val="clear" w:color="auto" w:fill="F1F5F6"/>
          </w:tcPr>
          <w:p>
            <w:pPr>
              <w:spacing w:after="0" w:before="0"/>
            </w:pPr>
            <w:r/>
            <w:r>
              <w:rPr>
                <w:color w:val="1A1A1A"/>
                <w:sz w:val="19"/>
              </w:rPr>
              <w:t>Companies on the platform sufficient for credible peer comparison</w:t>
            </w:r>
          </w:p>
        </w:tc>
        <w:tc>
          <w:tcPr>
            <w:tcW w:type="dxa" w:w="3628"/>
            <w:shd w:val="clear" w:color="auto" w:fill="F1F5F6"/>
          </w:tcPr>
          <w:p>
            <w:pPr>
              <w:spacing w:after="0" w:before="0"/>
            </w:pPr>
            <w:r/>
            <w:r>
              <w:rPr>
                <w:color w:val="1A1A1A"/>
                <w:sz w:val="19"/>
              </w:rPr>
              <w:t>15 within a comparable sector</w:t>
            </w:r>
          </w:p>
        </w:tc>
      </w:tr>
    </w:tbl>
    <w:p>
      <w:pPr>
        <w:spacing w:after="40"/>
      </w:pPr>
    </w:p>
    <w:p>
      <w:pPr>
        <w:keepNext/>
        <w:pageBreakBefore w:val="0"/>
        <w:spacing w:before="400" w:after="40"/>
        <w:pBdr>
          <w:bottom w:val="single" w:sz="8" w:space="4" w:color="BFD3D8"/>
        </w:pBdr>
      </w:pPr>
      <w:r>
        <w:rPr>
          <w:b/>
          <w:color w:val="0F4C5C"/>
          <w:sz w:val="30"/>
        </w:rPr>
        <w:t>11.  Risks</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2098"/>
            <w:shd w:val="clear" w:color="auto" w:fill="0F4C5C"/>
          </w:tcPr>
          <w:p>
            <w:pPr>
              <w:spacing w:after="0" w:before="0"/>
            </w:pPr>
            <w:r/>
            <w:r>
              <w:rPr>
                <w:b/>
                <w:color w:val="FFFFFF"/>
                <w:sz w:val="19"/>
              </w:rPr>
              <w:t>Risk</w:t>
            </w:r>
          </w:p>
        </w:tc>
        <w:tc>
          <w:tcPr>
            <w:tcW w:type="dxa" w:w="3628"/>
            <w:shd w:val="clear" w:color="auto" w:fill="0F4C5C"/>
          </w:tcPr>
          <w:p>
            <w:pPr>
              <w:spacing w:after="0" w:before="0"/>
            </w:pPr>
            <w:r/>
            <w:r>
              <w:rPr>
                <w:b/>
                <w:color w:val="FFFFFF"/>
                <w:sz w:val="19"/>
              </w:rPr>
              <w:t>Why it matters</w:t>
            </w:r>
          </w:p>
        </w:tc>
        <w:tc>
          <w:tcPr>
            <w:tcW w:type="dxa" w:w="3685"/>
            <w:shd w:val="clear" w:color="auto" w:fill="0F4C5C"/>
          </w:tcPr>
          <w:p>
            <w:pPr>
              <w:spacing w:after="0" w:before="0"/>
            </w:pPr>
            <w:r/>
            <w:r>
              <w:rPr>
                <w:b/>
                <w:color w:val="FFFFFF"/>
                <w:sz w:val="19"/>
              </w:rPr>
              <w:t>Response</w:t>
            </w:r>
          </w:p>
        </w:tc>
      </w:tr>
      <w:tr>
        <w:trPr>
          <w:cantSplit/>
        </w:trPr>
        <w:tc>
          <w:tcPr>
            <w:tcW w:type="dxa" w:w="2098"/>
          </w:tcPr>
          <w:p>
            <w:pPr>
              <w:spacing w:after="0" w:before="0"/>
            </w:pPr>
            <w:r/>
            <w:r>
              <w:rPr>
                <w:color w:val="1A1A1A"/>
                <w:sz w:val="19"/>
              </w:rPr>
              <w:t>An established incumbent already serves this need</w:t>
            </w:r>
          </w:p>
        </w:tc>
        <w:tc>
          <w:tcPr>
            <w:tcW w:type="dxa" w:w="3628"/>
          </w:tcPr>
          <w:p>
            <w:pPr>
              <w:spacing w:after="0" w:before="0"/>
            </w:pPr>
            <w:r/>
            <w:r>
              <w:rPr>
                <w:color w:val="1A1A1A"/>
                <w:sz w:val="19"/>
              </w:rPr>
              <w:t>The buyer may already have a profile, making the sale a displacement rather than a new purchase.</w:t>
            </w:r>
          </w:p>
        </w:tc>
        <w:tc>
          <w:tcPr>
            <w:tcW w:type="dxa" w:w="3685"/>
          </w:tcPr>
          <w:p>
            <w:pPr>
              <w:spacing w:after="0" w:before="0"/>
            </w:pPr>
            <w:r/>
            <w:r>
              <w:rPr>
                <w:color w:val="1A1A1A"/>
                <w:sz w:val="19"/>
              </w:rPr>
              <w:t>Primary research before Phase 2 is committed. Compete on channel and segment, not on features.</w:t>
            </w:r>
          </w:p>
        </w:tc>
      </w:tr>
      <w:tr>
        <w:trPr>
          <w:cantSplit/>
        </w:trPr>
        <w:tc>
          <w:tcPr>
            <w:tcW w:type="dxa" w:w="2098"/>
            <w:shd w:val="clear" w:color="auto" w:fill="F1F5F6"/>
          </w:tcPr>
          <w:p>
            <w:pPr>
              <w:spacing w:after="0" w:before="0"/>
            </w:pPr>
            <w:r/>
            <w:r>
              <w:rPr>
                <w:color w:val="1A1A1A"/>
                <w:sz w:val="19"/>
              </w:rPr>
              <w:t>A wrong figure published under a real company's name</w:t>
            </w:r>
          </w:p>
        </w:tc>
        <w:tc>
          <w:tcPr>
            <w:tcW w:type="dxa" w:w="3628"/>
            <w:shd w:val="clear" w:color="auto" w:fill="F1F5F6"/>
          </w:tcPr>
          <w:p>
            <w:pPr>
              <w:spacing w:after="0" w:before="0"/>
            </w:pPr>
            <w:r/>
            <w:r>
              <w:rPr>
                <w:color w:val="1A1A1A"/>
                <w:sz w:val="19"/>
              </w:rPr>
              <w:t>Reputational and potentially legal exposure for both the company and the consultant presenting it.</w:t>
            </w:r>
          </w:p>
        </w:tc>
        <w:tc>
          <w:tcPr>
            <w:tcW w:type="dxa" w:w="3685"/>
            <w:shd w:val="clear" w:color="auto" w:fill="F1F5F6"/>
          </w:tcPr>
          <w:p>
            <w:pPr>
              <w:spacing w:after="0" w:before="0"/>
            </w:pPr>
            <w:r/>
            <w:r>
              <w:rPr>
                <w:color w:val="1A1A1A"/>
                <w:sz w:val="19"/>
              </w:rPr>
              <w:t>Never estimate or infer. Human approval before publication in Phase 3. Every figure traceable to a source page.</w:t>
            </w:r>
          </w:p>
        </w:tc>
      </w:tr>
      <w:tr>
        <w:trPr>
          <w:cantSplit/>
        </w:trPr>
        <w:tc>
          <w:tcPr>
            <w:tcW w:type="dxa" w:w="2098"/>
          </w:tcPr>
          <w:p>
            <w:pPr>
              <w:spacing w:after="0" w:before="0"/>
            </w:pPr>
            <w:r/>
            <w:r>
              <w:rPr>
                <w:color w:val="1A1A1A"/>
                <w:sz w:val="19"/>
              </w:rPr>
              <w:t>Extraction quality below the threshold that saves time</w:t>
            </w:r>
          </w:p>
        </w:tc>
        <w:tc>
          <w:tcPr>
            <w:tcW w:type="dxa" w:w="3628"/>
          </w:tcPr>
          <w:p>
            <w:pPr>
              <w:spacing w:after="0" w:before="0"/>
            </w:pPr>
            <w:r/>
            <w:r>
              <w:rPr>
                <w:color w:val="1A1A1A"/>
                <w:sz w:val="19"/>
              </w:rPr>
              <w:t>If most rows need correcting, Phase 3 adds work rather than removing it.</w:t>
            </w:r>
          </w:p>
        </w:tc>
        <w:tc>
          <w:tcPr>
            <w:tcW w:type="dxa" w:w="3685"/>
          </w:tcPr>
          <w:p>
            <w:pPr>
              <w:spacing w:after="0" w:before="0"/>
            </w:pPr>
            <w:r/>
            <w:r>
              <w:rPr>
                <w:color w:val="1A1A1A"/>
                <w:sz w:val="19"/>
              </w:rPr>
              <w:t>Measure correction rate on real reports before offering it commercially. Phase 3 is abandonable without invalidating Phases 1 and 2.</w:t>
            </w:r>
          </w:p>
        </w:tc>
      </w:tr>
      <w:tr>
        <w:trPr>
          <w:cantSplit/>
        </w:trPr>
        <w:tc>
          <w:tcPr>
            <w:tcW w:type="dxa" w:w="2098"/>
            <w:shd w:val="clear" w:color="auto" w:fill="F1F5F6"/>
          </w:tcPr>
          <w:p>
            <w:pPr>
              <w:spacing w:after="0" w:before="0"/>
            </w:pPr>
            <w:r/>
            <w:r>
              <w:rPr>
                <w:color w:val="1A1A1A"/>
                <w:sz w:val="19"/>
              </w:rPr>
              <w:t>Companies do not value presentation enough to pay</w:t>
            </w:r>
          </w:p>
        </w:tc>
        <w:tc>
          <w:tcPr>
            <w:tcW w:type="dxa" w:w="3628"/>
            <w:shd w:val="clear" w:color="auto" w:fill="F1F5F6"/>
          </w:tcPr>
          <w:p>
            <w:pPr>
              <w:spacing w:after="0" w:before="0"/>
            </w:pPr>
            <w:r/>
            <w:r>
              <w:rPr>
                <w:color w:val="1A1A1A"/>
                <w:sz w:val="19"/>
              </w:rPr>
              <w:t>The reporting spend is compliance-driven; presentation may be seen as discretionary.</w:t>
            </w:r>
          </w:p>
        </w:tc>
        <w:tc>
          <w:tcPr>
            <w:tcW w:type="dxa" w:w="3685"/>
            <w:shd w:val="clear" w:color="auto" w:fill="F1F5F6"/>
          </w:tcPr>
          <w:p>
            <w:pPr>
              <w:spacing w:after="0" w:before="0"/>
            </w:pPr>
            <w:r/>
            <w:r>
              <w:rPr>
                <w:color w:val="1A1A1A"/>
                <w:sz w:val="19"/>
              </w:rPr>
              <w:t>Validate through the consulting channel first, where the cost is absorbed into an engagement already being paid for.</w:t>
            </w:r>
          </w:p>
        </w:tc>
      </w:tr>
      <w:tr>
        <w:trPr>
          <w:cantSplit/>
        </w:trPr>
        <w:tc>
          <w:tcPr>
            <w:tcW w:type="dxa" w:w="2098"/>
          </w:tcPr>
          <w:p>
            <w:pPr>
              <w:spacing w:after="0" w:before="0"/>
            </w:pPr>
            <w:r/>
            <w:r>
              <w:rPr>
                <w:color w:val="1A1A1A"/>
                <w:sz w:val="19"/>
              </w:rPr>
              <w:t>Rights to republish disclosure data</w:t>
            </w:r>
          </w:p>
        </w:tc>
        <w:tc>
          <w:tcPr>
            <w:tcW w:type="dxa" w:w="3628"/>
          </w:tcPr>
          <w:p>
            <w:pPr>
              <w:spacing w:after="0" w:before="0"/>
            </w:pPr>
            <w:r/>
            <w:r>
              <w:rPr>
                <w:color w:val="1A1A1A"/>
                <w:sz w:val="19"/>
              </w:rPr>
              <w:t>A company's own published data presented on its behalf is straightforward; aggregating other companies' data for benchmarking is not.</w:t>
            </w:r>
          </w:p>
        </w:tc>
        <w:tc>
          <w:tcPr>
            <w:tcW w:type="dxa" w:w="3685"/>
          </w:tcPr>
          <w:p>
            <w:pPr>
              <w:spacing w:after="0" w:before="0"/>
            </w:pPr>
            <w:r/>
            <w:r>
              <w:rPr>
                <w:color w:val="1A1A1A"/>
                <w:sz w:val="19"/>
              </w:rPr>
              <w:t>Take advice before Phase 4. Phases 1 to 3 operate only on data belonging to the paying company.</w:t>
            </w:r>
          </w:p>
        </w:tc>
      </w:tr>
      <w:tr>
        <w:trPr>
          <w:cantSplit/>
        </w:trPr>
        <w:tc>
          <w:tcPr>
            <w:tcW w:type="dxa" w:w="2098"/>
            <w:shd w:val="clear" w:color="auto" w:fill="F1F5F6"/>
          </w:tcPr>
          <w:p>
            <w:pPr>
              <w:spacing w:after="0" w:before="0"/>
            </w:pPr>
            <w:r/>
            <w:r>
              <w:rPr>
                <w:color w:val="1A1A1A"/>
                <w:sz w:val="19"/>
              </w:rPr>
              <w:t>Annual refresh becomes an unmanaged obligation</w:t>
            </w:r>
          </w:p>
        </w:tc>
        <w:tc>
          <w:tcPr>
            <w:tcW w:type="dxa" w:w="3628"/>
            <w:shd w:val="clear" w:color="auto" w:fill="F1F5F6"/>
          </w:tcPr>
          <w:p>
            <w:pPr>
              <w:spacing w:after="0" w:before="0"/>
            </w:pPr>
            <w:r/>
            <w:r>
              <w:rPr>
                <w:color w:val="1A1A1A"/>
                <w:sz w:val="19"/>
              </w:rPr>
              <w:t>Every profile needs updating each reporting cycle; unrefreshed profiles are worse than none.</w:t>
            </w:r>
          </w:p>
        </w:tc>
        <w:tc>
          <w:tcPr>
            <w:tcW w:type="dxa" w:w="3685"/>
            <w:shd w:val="clear" w:color="auto" w:fill="F1F5F6"/>
          </w:tcPr>
          <w:p>
            <w:pPr>
              <w:spacing w:after="0" w:before="0"/>
            </w:pPr>
            <w:r/>
            <w:r>
              <w:rPr>
                <w:color w:val="1A1A1A"/>
                <w:sz w:val="19"/>
              </w:rPr>
              <w:t>Price refresh into the licence from the outset. Show the source report date prominently on every profile.</w:t>
            </w:r>
          </w:p>
        </w:tc>
      </w:tr>
    </w:tbl>
    <w:p>
      <w:pPr>
        <w:spacing w:after="40"/>
      </w:pPr>
    </w:p>
    <w:p>
      <w:pPr>
        <w:keepNext/>
        <w:pageBreakBefore w:val="0"/>
        <w:spacing w:before="400" w:after="40"/>
        <w:pBdr>
          <w:bottom w:val="single" w:sz="8" w:space="4" w:color="BFD3D8"/>
        </w:pBdr>
      </w:pPr>
      <w:r>
        <w:rPr>
          <w:b/>
          <w:color w:val="0F4C5C"/>
          <w:sz w:val="30"/>
        </w:rPr>
        <w:t>12.  Out of Scope</w:t>
      </w:r>
    </w:p>
    <w:p>
      <w:pPr>
        <w:spacing w:after="160"/>
      </w:pPr>
      <w:r>
        <w:rPr>
          <w:i w:val="0"/>
          <w:color w:val="1A1A1A"/>
          <w:sz w:val="21"/>
        </w:rPr>
        <w:t>Not part of this product at any phase, unless explicitly revisited:</w:t>
      </w:r>
    </w:p>
    <w:p>
      <w:pPr>
        <w:pStyle w:val="ListBullet"/>
        <w:spacing w:after="80"/>
        <w:ind w:left="340"/>
      </w:pPr>
      <w:r>
        <w:rPr>
          <w:color w:val="1A1A1A"/>
          <w:sz w:val="21"/>
        </w:rPr>
        <w:t>ESG data collection, emissions calculation, or any assistance in producing the report itself.</w:t>
      </w:r>
    </w:p>
    <w:p>
      <w:pPr>
        <w:pStyle w:val="ListBullet"/>
        <w:spacing w:after="80"/>
        <w:ind w:left="340"/>
      </w:pPr>
      <w:r>
        <w:rPr>
          <w:color w:val="1A1A1A"/>
          <w:sz w:val="21"/>
        </w:rPr>
        <w:t>Assurance, verification or any activity requiring professional sign-off on the underlying data.</w:t>
      </w:r>
    </w:p>
    <w:p>
      <w:pPr>
        <w:pStyle w:val="ListBullet"/>
        <w:spacing w:after="80"/>
        <w:ind w:left="340"/>
      </w:pPr>
      <w:r>
        <w:rPr>
          <w:color w:val="1A1A1A"/>
          <w:sz w:val="21"/>
        </w:rPr>
        <w:t>Scoring or rating companies. The platform presents disclosure; it does not judge it.</w:t>
      </w:r>
    </w:p>
    <w:p>
      <w:pPr>
        <w:pStyle w:val="ListBullet"/>
        <w:spacing w:after="80"/>
        <w:ind w:left="340"/>
      </w:pPr>
      <w:r>
        <w:rPr>
          <w:color w:val="1A1A1A"/>
          <w:sz w:val="21"/>
        </w:rPr>
        <w:t>Regulatory filing or submission to SEBI or any exchange.</w:t>
      </w:r>
    </w:p>
    <w:p>
      <w:pPr>
        <w:pStyle w:val="ListBullet"/>
        <w:spacing w:after="80"/>
        <w:ind w:left="340"/>
      </w:pPr>
      <w:r>
        <w:rPr>
          <w:color w:val="1A1A1A"/>
          <w:sz w:val="21"/>
        </w:rPr>
        <w:t>Frameworks beyond BRSR and GRI-style sustainability reporting in the initial phases.</w:t>
      </w:r>
    </w:p>
    <w:p>
      <w:pPr>
        <w:keepNext/>
        <w:pageBreakBefore w:val="0"/>
        <w:spacing w:before="400" w:after="40"/>
        <w:pBdr>
          <w:bottom w:val="single" w:sz="8" w:space="4" w:color="BFD3D8"/>
        </w:pBdr>
      </w:pPr>
      <w:r>
        <w:rPr>
          <w:b/>
          <w:color w:val="0F4C5C"/>
          <w:sz w:val="30"/>
        </w:rPr>
        <w:t>13.  Open Decisions</w:t>
      </w:r>
    </w:p>
    <w:tbl>
      <w:tblPr>
        <w:tblStyle w:val="TableGrid"/>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37"/>
        <w:gridCol w:w="3137"/>
        <w:gridCol w:w="3137"/>
      </w:tblGrid>
      <w:tr>
        <w:trPr>
          <w:cantSplit/>
          <w:tblHeader w:val="true"/>
        </w:trPr>
        <w:tc>
          <w:tcPr>
            <w:tcW w:type="dxa" w:w="567"/>
            <w:shd w:val="clear" w:color="auto" w:fill="0F4C5C"/>
          </w:tcPr>
          <w:p>
            <w:pPr>
              <w:spacing w:after="0" w:before="0"/>
            </w:pPr>
            <w:r/>
            <w:r>
              <w:rPr>
                <w:b/>
                <w:color w:val="FFFFFF"/>
                <w:sz w:val="19"/>
              </w:rPr>
              <w:t>#</w:t>
            </w:r>
          </w:p>
        </w:tc>
        <w:tc>
          <w:tcPr>
            <w:tcW w:type="dxa" w:w="6236"/>
            <w:shd w:val="clear" w:color="auto" w:fill="0F4C5C"/>
          </w:tcPr>
          <w:p>
            <w:pPr>
              <w:spacing w:after="0" w:before="0"/>
            </w:pPr>
            <w:r/>
            <w:r>
              <w:rPr>
                <w:b/>
                <w:color w:val="FFFFFF"/>
                <w:sz w:val="19"/>
              </w:rPr>
              <w:t>Decision</w:t>
            </w:r>
          </w:p>
        </w:tc>
        <w:tc>
          <w:tcPr>
            <w:tcW w:type="dxa" w:w="2608"/>
            <w:shd w:val="clear" w:color="auto" w:fill="0F4C5C"/>
          </w:tcPr>
          <w:p>
            <w:pPr>
              <w:spacing w:after="0" w:before="0"/>
            </w:pPr>
            <w:r/>
            <w:r>
              <w:rPr>
                <w:b/>
                <w:color w:val="FFFFFF"/>
                <w:sz w:val="19"/>
              </w:rPr>
              <w:t>Needed by</w:t>
            </w:r>
          </w:p>
        </w:tc>
      </w:tr>
      <w:tr>
        <w:trPr>
          <w:cantSplit/>
        </w:trPr>
        <w:tc>
          <w:tcPr>
            <w:tcW w:type="dxa" w:w="567"/>
          </w:tcPr>
          <w:p>
            <w:pPr>
              <w:spacing w:after="0" w:before="0"/>
            </w:pPr>
            <w:r/>
            <w:r>
              <w:rPr>
                <w:color w:val="1A1A1A"/>
                <w:sz w:val="19"/>
              </w:rPr>
              <w:t>1</w:t>
            </w:r>
          </w:p>
        </w:tc>
        <w:tc>
          <w:tcPr>
            <w:tcW w:type="dxa" w:w="6236"/>
          </w:tcPr>
          <w:p>
            <w:pPr>
              <w:spacing w:after="0" w:before="0"/>
            </w:pPr>
            <w:r/>
            <w:r>
              <w:rPr>
                <w:color w:val="1A1A1A"/>
                <w:sz w:val="19"/>
              </w:rPr>
              <w:t>Fix the extractor's section-locating defect. It mis-assigns two of nine BRSR principles, and the same fix is what reading full annual reports requires.</w:t>
            </w:r>
          </w:p>
        </w:tc>
        <w:tc>
          <w:tcPr>
            <w:tcW w:type="dxa" w:w="2608"/>
          </w:tcPr>
          <w:p>
            <w:pPr>
              <w:spacing w:after="0" w:before="0"/>
            </w:pPr>
            <w:r/>
            <w:r>
              <w:rPr>
                <w:color w:val="1A1A1A"/>
                <w:sz w:val="19"/>
              </w:rPr>
              <w:t>Before anything else in Phase 3</w:t>
            </w:r>
          </w:p>
        </w:tc>
      </w:tr>
      <w:tr>
        <w:trPr>
          <w:cantSplit/>
        </w:trPr>
        <w:tc>
          <w:tcPr>
            <w:tcW w:type="dxa" w:w="567"/>
            <w:shd w:val="clear" w:color="auto" w:fill="F1F5F6"/>
          </w:tcPr>
          <w:p>
            <w:pPr>
              <w:spacing w:after="0" w:before="0"/>
            </w:pPr>
            <w:r/>
            <w:r>
              <w:rPr>
                <w:color w:val="1A1A1A"/>
                <w:sz w:val="19"/>
              </w:rPr>
              <w:t>2</w:t>
            </w:r>
          </w:p>
        </w:tc>
        <w:tc>
          <w:tcPr>
            <w:tcW w:type="dxa" w:w="6236"/>
            <w:shd w:val="clear" w:color="auto" w:fill="F1F5F6"/>
          </w:tcPr>
          <w:p>
            <w:pPr>
              <w:spacing w:after="0" w:before="0"/>
            </w:pPr>
            <w:r/>
            <w:r>
              <w:rPr>
                <w:color w:val="1A1A1A"/>
                <w:sz w:val="19"/>
              </w:rPr>
              <w:t>Measure extraction accuracy against a report with known-correct answers. Everything about Phase 3 economics, including who reviews, follows from this number - but it must come after the fix above, or the number will be wrong in a way nobody notices.</w:t>
            </w:r>
          </w:p>
        </w:tc>
        <w:tc>
          <w:tcPr>
            <w:tcW w:type="dxa" w:w="2608"/>
            <w:shd w:val="clear" w:color="auto" w:fill="F1F5F6"/>
          </w:tcPr>
          <w:p>
            <w:pPr>
              <w:spacing w:after="0" w:before="0"/>
            </w:pPr>
            <w:r/>
            <w:r>
              <w:rPr>
                <w:color w:val="1A1A1A"/>
                <w:sz w:val="19"/>
              </w:rPr>
              <w:t>Immediately after the fix</w:t>
            </w:r>
          </w:p>
        </w:tc>
      </w:tr>
      <w:tr>
        <w:trPr>
          <w:cantSplit/>
        </w:trPr>
        <w:tc>
          <w:tcPr>
            <w:tcW w:type="dxa" w:w="567"/>
          </w:tcPr>
          <w:p>
            <w:pPr>
              <w:spacing w:after="0" w:before="0"/>
            </w:pPr>
            <w:r/>
            <w:r>
              <w:rPr>
                <w:color w:val="1A1A1A"/>
                <w:sz w:val="19"/>
              </w:rPr>
              <w:t>3</w:t>
            </w:r>
          </w:p>
        </w:tc>
        <w:tc>
          <w:tcPr>
            <w:tcW w:type="dxa" w:w="6236"/>
          </w:tcPr>
          <w:p>
            <w:pPr>
              <w:spacing w:after="0" w:before="0"/>
            </w:pPr>
            <w:r/>
            <w:r>
              <w:rPr>
                <w:color w:val="1A1A1A"/>
                <w:sz w:val="19"/>
              </w:rPr>
              <w:t>Sign off the Environmental / Social / Governance classification mapping. Rule-based classification covers about 84% of rows; 105 are genuinely none of the three. The filter is deliberately unbuilt until this is agreed, because any row's classification may have to be defended to a client.</w:t>
            </w:r>
          </w:p>
        </w:tc>
        <w:tc>
          <w:tcPr>
            <w:tcW w:type="dxa" w:w="2608"/>
          </w:tcPr>
          <w:p>
            <w:pPr>
              <w:spacing w:after="0" w:before="0"/>
            </w:pPr>
            <w:r/>
            <w:r>
              <w:rPr>
                <w:color w:val="1A1A1A"/>
                <w:sz w:val="19"/>
              </w:rPr>
              <w:t>Before the filter is built</w:t>
            </w:r>
          </w:p>
        </w:tc>
      </w:tr>
      <w:tr>
        <w:trPr>
          <w:cantSplit/>
        </w:trPr>
        <w:tc>
          <w:tcPr>
            <w:tcW w:type="dxa" w:w="567"/>
            <w:shd w:val="clear" w:color="auto" w:fill="F1F5F6"/>
          </w:tcPr>
          <w:p>
            <w:pPr>
              <w:spacing w:after="0" w:before="0"/>
            </w:pPr>
            <w:r/>
            <w:r>
              <w:rPr>
                <w:color w:val="1A1A1A"/>
                <w:sz w:val="19"/>
              </w:rPr>
              <w:t>4</w:t>
            </w:r>
          </w:p>
        </w:tc>
        <w:tc>
          <w:tcPr>
            <w:tcW w:type="dxa" w:w="6236"/>
            <w:shd w:val="clear" w:color="auto" w:fill="F1F5F6"/>
          </w:tcPr>
          <w:p>
            <w:pPr>
              <w:spacing w:after="0" w:before="0"/>
            </w:pPr>
            <w:r/>
            <w:r>
              <w:rPr>
                <w:color w:val="1A1A1A"/>
                <w:sz w:val="19"/>
              </w:rPr>
              <w:t>How the incumbent is differentiated from, based on primary research rather than assumption.</w:t>
            </w:r>
          </w:p>
        </w:tc>
        <w:tc>
          <w:tcPr>
            <w:tcW w:type="dxa" w:w="2608"/>
            <w:shd w:val="clear" w:color="auto" w:fill="F1F5F6"/>
          </w:tcPr>
          <w:p>
            <w:pPr>
              <w:spacing w:after="0" w:before="0"/>
            </w:pPr>
            <w:r/>
            <w:r>
              <w:rPr>
                <w:color w:val="1A1A1A"/>
                <w:sz w:val="19"/>
              </w:rPr>
              <w:t>Before Phase 2 is committed</w:t>
            </w:r>
          </w:p>
        </w:tc>
      </w:tr>
      <w:tr>
        <w:trPr>
          <w:cantSplit/>
        </w:trPr>
        <w:tc>
          <w:tcPr>
            <w:tcW w:type="dxa" w:w="567"/>
          </w:tcPr>
          <w:p>
            <w:pPr>
              <w:spacing w:after="0" w:before="0"/>
            </w:pPr>
            <w:r/>
            <w:r>
              <w:rPr>
                <w:color w:val="1A1A1A"/>
                <w:sz w:val="19"/>
              </w:rPr>
              <w:t>5</w:t>
            </w:r>
          </w:p>
        </w:tc>
        <w:tc>
          <w:tcPr>
            <w:tcW w:type="dxa" w:w="6236"/>
          </w:tcPr>
          <w:p>
            <w:pPr>
              <w:spacing w:after="0" w:before="0"/>
            </w:pPr>
            <w:r/>
            <w:r>
              <w:rPr>
                <w:color w:val="1A1A1A"/>
                <w:sz w:val="19"/>
              </w:rPr>
              <w:t>Which commercial route is pursued first, and whether Rs 25,000-30,000 survives contact with the preparation effort per company.</w:t>
            </w:r>
          </w:p>
        </w:tc>
        <w:tc>
          <w:tcPr>
            <w:tcW w:type="dxa" w:w="2608"/>
          </w:tcPr>
          <w:p>
            <w:pPr>
              <w:spacing w:after="0" w:before="0"/>
            </w:pPr>
            <w:r/>
            <w:r>
              <w:rPr>
                <w:color w:val="1A1A1A"/>
                <w:sz w:val="19"/>
              </w:rPr>
              <w:t>Before Phase 2 is committed</w:t>
            </w:r>
          </w:p>
        </w:tc>
      </w:tr>
      <w:tr>
        <w:trPr>
          <w:cantSplit/>
        </w:trPr>
        <w:tc>
          <w:tcPr>
            <w:tcW w:type="dxa" w:w="567"/>
            <w:shd w:val="clear" w:color="auto" w:fill="F1F5F6"/>
          </w:tcPr>
          <w:p>
            <w:pPr>
              <w:spacing w:after="0" w:before="0"/>
            </w:pPr>
            <w:r/>
            <w:r>
              <w:rPr>
                <w:color w:val="1A1A1A"/>
                <w:sz w:val="19"/>
              </w:rPr>
              <w:t>6</w:t>
            </w:r>
          </w:p>
        </w:tc>
        <w:tc>
          <w:tcPr>
            <w:tcW w:type="dxa" w:w="6236"/>
            <w:shd w:val="clear" w:color="auto" w:fill="F1F5F6"/>
          </w:tcPr>
          <w:p>
            <w:pPr>
              <w:spacing w:after="0" w:before="0"/>
            </w:pPr>
            <w:r/>
            <w:r>
              <w:rPr>
                <w:color w:val="1A1A1A"/>
                <w:sz w:val="19"/>
              </w:rPr>
              <w:t>Investigate the four flagged trend series that still carry a generic caption - business travel, hazardous waste, e-waste and harassment complaints - and record the cause of each jump. A falling harassment count is more likely to be genuine good news than a reporting artefact.</w:t>
            </w:r>
          </w:p>
        </w:tc>
        <w:tc>
          <w:tcPr>
            <w:tcW w:type="dxa" w:w="2608"/>
            <w:shd w:val="clear" w:color="auto" w:fill="F1F5F6"/>
          </w:tcPr>
          <w:p>
            <w:pPr>
              <w:spacing w:after="0" w:before="0"/>
            </w:pPr>
            <w:r/>
            <w:r>
              <w:rPr>
                <w:color w:val="1A1A1A"/>
                <w:sz w:val="19"/>
              </w:rPr>
              <w:t>Before the charts are shown externally</w:t>
            </w:r>
          </w:p>
        </w:tc>
      </w:tr>
      <w:tr>
        <w:trPr>
          <w:cantSplit/>
        </w:trPr>
        <w:tc>
          <w:tcPr>
            <w:tcW w:type="dxa" w:w="567"/>
          </w:tcPr>
          <w:p>
            <w:pPr>
              <w:spacing w:after="0" w:before="0"/>
            </w:pPr>
            <w:r/>
            <w:r>
              <w:rPr>
                <w:color w:val="1A1A1A"/>
                <w:sz w:val="19"/>
              </w:rPr>
              <w:t>7</w:t>
            </w:r>
          </w:p>
        </w:tc>
        <w:tc>
          <w:tcPr>
            <w:tcW w:type="dxa" w:w="6236"/>
          </w:tcPr>
          <w:p>
            <w:pPr>
              <w:spacing w:after="0" w:before="0"/>
            </w:pPr>
            <w:r/>
            <w:r>
              <w:rPr>
                <w:color w:val="1A1A1A"/>
                <w:sz w:val="19"/>
              </w:rPr>
              <w:t>GRI licensing position for commercial use in software. Referencing the linkage document is one thing; shipping it inside a paid product is another.</w:t>
            </w:r>
          </w:p>
        </w:tc>
        <w:tc>
          <w:tcPr>
            <w:tcW w:type="dxa" w:w="2608"/>
          </w:tcPr>
          <w:p>
            <w:pPr>
              <w:spacing w:after="0" w:before="0"/>
            </w:pPr>
            <w:r/>
            <w:r>
              <w:rPr>
                <w:color w:val="1A1A1A"/>
                <w:sz w:val="19"/>
              </w:rPr>
              <w:t>Before framework mapping is sold</w:t>
            </w:r>
          </w:p>
        </w:tc>
      </w:tr>
      <w:tr>
        <w:trPr>
          <w:cantSplit/>
        </w:trPr>
        <w:tc>
          <w:tcPr>
            <w:tcW w:type="dxa" w:w="567"/>
            <w:shd w:val="clear" w:color="auto" w:fill="F1F5F6"/>
          </w:tcPr>
          <w:p>
            <w:pPr>
              <w:spacing w:after="0" w:before="0"/>
            </w:pPr>
            <w:r/>
            <w:r>
              <w:rPr>
                <w:color w:val="1A1A1A"/>
                <w:sz w:val="19"/>
              </w:rPr>
              <w:t>8</w:t>
            </w:r>
          </w:p>
        </w:tc>
        <w:tc>
          <w:tcPr>
            <w:tcW w:type="dxa" w:w="6236"/>
            <w:shd w:val="clear" w:color="auto" w:fill="F1F5F6"/>
          </w:tcPr>
          <w:p>
            <w:pPr>
              <w:spacing w:after="0" w:before="0"/>
            </w:pPr>
            <w:r/>
            <w:r>
              <w:rPr>
                <w:color w:val="1A1A1A"/>
                <w:sz w:val="19"/>
              </w:rPr>
              <w:t>Obtain Tables C.3, D.2 and E.2 from IFC's 2025 handbook. They could not be retrieved; if they contain a real GRI-to-Performance-Standard crosswalk, the derived IFC mapping should be replaced with it.</w:t>
            </w:r>
          </w:p>
        </w:tc>
        <w:tc>
          <w:tcPr>
            <w:tcW w:type="dxa" w:w="2608"/>
            <w:shd w:val="clear" w:color="auto" w:fill="F1F5F6"/>
          </w:tcPr>
          <w:p>
            <w:pPr>
              <w:spacing w:after="0" w:before="0"/>
            </w:pPr>
            <w:r/>
            <w:r>
              <w:rPr>
                <w:color w:val="1A1A1A"/>
                <w:sz w:val="19"/>
              </w:rPr>
              <w:t>Before IFC is quoted to a client</w:t>
            </w:r>
          </w:p>
        </w:tc>
      </w:tr>
      <w:tr>
        <w:trPr>
          <w:cantSplit/>
        </w:trPr>
        <w:tc>
          <w:tcPr>
            <w:tcW w:type="dxa" w:w="567"/>
          </w:tcPr>
          <w:p>
            <w:pPr>
              <w:spacing w:after="0" w:before="0"/>
            </w:pPr>
            <w:r/>
            <w:r>
              <w:rPr>
                <w:color w:val="1A1A1A"/>
                <w:sz w:val="19"/>
              </w:rPr>
              <w:t>9</w:t>
            </w:r>
          </w:p>
        </w:tc>
        <w:tc>
          <w:tcPr>
            <w:tcW w:type="dxa" w:w="6236"/>
          </w:tcPr>
          <w:p>
            <w:pPr>
              <w:spacing w:after="0" w:before="0"/>
            </w:pPr>
            <w:r/>
            <w:r>
              <w:rPr>
                <w:color w:val="1A1A1A"/>
                <w:sz w:val="19"/>
              </w:rPr>
              <w:t>Review the converter's residual proper-noun list and mark what is identifying. The demonstration is de-branded, not anonymous - the figures are real and published.</w:t>
            </w:r>
          </w:p>
        </w:tc>
        <w:tc>
          <w:tcPr>
            <w:tcW w:type="dxa" w:w="2608"/>
          </w:tcPr>
          <w:p>
            <w:pPr>
              <w:spacing w:after="0" w:before="0"/>
            </w:pPr>
            <w:r/>
            <w:r>
              <w:rPr>
                <w:color w:val="1A1A1A"/>
                <w:sz w:val="19"/>
              </w:rPr>
              <w:t>Before the demo is shown externally</w:t>
            </w:r>
          </w:p>
        </w:tc>
      </w:tr>
      <w:tr>
        <w:trPr>
          <w:cantSplit/>
        </w:trPr>
        <w:tc>
          <w:tcPr>
            <w:tcW w:type="dxa" w:w="567"/>
            <w:shd w:val="clear" w:color="auto" w:fill="F1F5F6"/>
          </w:tcPr>
          <w:p>
            <w:pPr>
              <w:spacing w:after="0" w:before="0"/>
            </w:pPr>
            <w:r/>
            <w:r>
              <w:rPr>
                <w:color w:val="1A1A1A"/>
                <w:sz w:val="19"/>
              </w:rPr>
              <w:t>10</w:t>
            </w:r>
          </w:p>
        </w:tc>
        <w:tc>
          <w:tcPr>
            <w:tcW w:type="dxa" w:w="6236"/>
            <w:shd w:val="clear" w:color="auto" w:fill="F1F5F6"/>
          </w:tcPr>
          <w:p>
            <w:pPr>
              <w:spacing w:after="0" w:before="0"/>
            </w:pPr>
            <w:r/>
            <w:r>
              <w:rPr>
                <w:color w:val="1A1A1A"/>
                <w:sz w:val="19"/>
              </w:rPr>
              <w:t>Target segment - top 500, the 500 to 1,000 band, or unlisted companies reporting voluntarily.</w:t>
            </w:r>
          </w:p>
        </w:tc>
        <w:tc>
          <w:tcPr>
            <w:tcW w:type="dxa" w:w="2608"/>
            <w:shd w:val="clear" w:color="auto" w:fill="F1F5F6"/>
          </w:tcPr>
          <w:p>
            <w:pPr>
              <w:spacing w:after="0" w:before="0"/>
            </w:pPr>
            <w:r/>
            <w:r>
              <w:rPr>
                <w:color w:val="1A1A1A"/>
                <w:sz w:val="19"/>
              </w:rPr>
              <w:t>Before Phase 2 is committed</w:t>
            </w:r>
          </w:p>
        </w:tc>
      </w:tr>
    </w:tbl>
    <w:p>
      <w:pPr>
        <w:spacing w:after="40"/>
      </w:pPr>
    </w:p>
    <w:p>
      <w:pPr>
        <w:keepNext/>
        <w:pageBreakBefore w:val="0"/>
        <w:spacing w:before="400" w:after="40"/>
        <w:pBdr>
          <w:bottom w:val="single" w:sz="8" w:space="4" w:color="BFD3D8"/>
        </w:pBdr>
      </w:pPr>
      <w:r>
        <w:rPr>
          <w:b/>
          <w:color w:val="0F4C5C"/>
          <w:sz w:val="30"/>
        </w:rPr>
        <w:t>14.  Sources</w:t>
      </w:r>
    </w:p>
    <w:p>
      <w:pPr>
        <w:spacing w:after="160"/>
      </w:pPr>
      <w:r>
        <w:rPr>
          <w:i w:val="0"/>
          <w:color w:val="5A6470"/>
          <w:sz w:val="19"/>
        </w:rPr>
        <w:t>Regulatory and market statements in Sections 3 and 8 were checked against the following in August 2026. BRSR requirements have been amended repeatedly; re-verify before external use.</w:t>
      </w:r>
    </w:p>
    <w:p>
      <w:pPr>
        <w:spacing w:after="20"/>
        <w:ind w:left="227"/>
      </w:pPr>
      <w:r>
        <w:rPr>
          <w:color w:val="1A1A1A"/>
          <w:sz w:val="18"/>
        </w:rPr>
        <w:t>SEBI proposes amendments to BRSR Core assurance and value chain requirements — KPMG India</w:t>
      </w:r>
    </w:p>
    <w:p>
      <w:pPr>
        <w:spacing w:after="140"/>
        <w:ind w:left="227"/>
      </w:pPr>
      <w:r>
        <w:rPr>
          <w:color w:val="5A6470"/>
          <w:sz w:val="16"/>
        </w:rPr>
        <w:t>https://assets.kpmg.com/content/dam/kpmg/in/pdf/2024/06/firstnotes-sebi-proposes-amendments-to-brsr-core-assurance-and-value-chain-requirements.pdf</w:t>
      </w:r>
    </w:p>
    <w:p>
      <w:pPr>
        <w:spacing w:after="20"/>
        <w:ind w:left="227"/>
      </w:pPr>
      <w:r>
        <w:rPr>
          <w:color w:val="1A1A1A"/>
          <w:sz w:val="18"/>
        </w:rPr>
        <w:t>SEBI introduces certain key changes in BRSR reporting — KPMG India, January 2025</w:t>
      </w:r>
    </w:p>
    <w:p>
      <w:pPr>
        <w:spacing w:after="140"/>
        <w:ind w:left="227"/>
      </w:pPr>
      <w:r>
        <w:rPr>
          <w:color w:val="5A6470"/>
          <w:sz w:val="16"/>
        </w:rPr>
        <w:t>https://assets.kpmg.com/content/dam/kpmgsites/in/pdf/2025/01/firstnotes-sebi-introduces-certain-key-changes-in-brsr-reporting.pdf.coredownload.inline.pdf</w:t>
      </w:r>
    </w:p>
    <w:p>
      <w:pPr>
        <w:spacing w:after="20"/>
        <w:ind w:left="227"/>
      </w:pPr>
      <w:r>
        <w:rPr>
          <w:color w:val="1A1A1A"/>
          <w:sz w:val="18"/>
        </w:rPr>
        <w:t>Latest Updates on the BRSR Reporting and Assurance Framework — Uniqus, January 2025</w:t>
      </w:r>
    </w:p>
    <w:p>
      <w:pPr>
        <w:spacing w:after="140"/>
        <w:ind w:left="227"/>
      </w:pPr>
      <w:r>
        <w:rPr>
          <w:color w:val="5A6470"/>
          <w:sz w:val="16"/>
        </w:rPr>
        <w:t>https://uniqus.com/wp-content/uploads/2025/01/Latest-Updates-on-the-BRSR-Reporting-Assurance-Framework.pdf</w:t>
      </w:r>
    </w:p>
    <w:p>
      <w:pPr>
        <w:spacing w:after="20"/>
        <w:ind w:left="227"/>
      </w:pPr>
      <w:r>
        <w:rPr>
          <w:color w:val="1A1A1A"/>
          <w:sz w:val="18"/>
        </w:rPr>
        <w:t>BRSR Reporting in India: Key Changes to ESG Disclosures — India Briefing</w:t>
      </w:r>
    </w:p>
    <w:p>
      <w:pPr>
        <w:spacing w:after="140"/>
        <w:ind w:left="227"/>
      </w:pPr>
      <w:r>
        <w:rPr>
          <w:color w:val="5A6470"/>
          <w:sz w:val="16"/>
        </w:rPr>
        <w:t>https://www.india-briefing.com/news/brsr-reporting-in-india-key-changes-to-esg-disclosures-introduced-by-sebi-36261.html/</w:t>
      </w:r>
    </w:p>
    <w:p>
      <w:pPr>
        <w:spacing w:after="20"/>
        <w:ind w:left="227"/>
      </w:pPr>
      <w:r>
        <w:rPr>
          <w:color w:val="1A1A1A"/>
          <w:sz w:val="18"/>
        </w:rPr>
        <w:t>BRSR Core Reporting Applicability: SEBI LODR FY 2025-26 — Vakilsearch</w:t>
      </w:r>
    </w:p>
    <w:p>
      <w:pPr>
        <w:spacing w:after="140"/>
        <w:ind w:left="227"/>
      </w:pPr>
      <w:r>
        <w:rPr>
          <w:color w:val="5A6470"/>
          <w:sz w:val="16"/>
        </w:rPr>
        <w:t>https://vakilsearch.com/article/brsr-core-reporting-applicability/</w:t>
      </w:r>
    </w:p>
    <w:p>
      <w:pPr>
        <w:spacing w:after="20"/>
        <w:ind w:left="227"/>
      </w:pPr>
      <w:r>
        <w:rPr>
          <w:color w:val="1A1A1A"/>
          <w:sz w:val="18"/>
        </w:rPr>
        <w:t>Churchgate Partners — corporate site</w:t>
      </w:r>
    </w:p>
    <w:p>
      <w:pPr>
        <w:spacing w:after="140"/>
        <w:ind w:left="227"/>
      </w:pPr>
      <w:r>
        <w:rPr>
          <w:color w:val="5A6470"/>
          <w:sz w:val="16"/>
        </w:rPr>
        <w:t>https://www.churchgatepartners.com/</w:t>
      </w:r>
    </w:p>
    <w:p>
      <w:pPr>
        <w:spacing w:after="20"/>
        <w:ind w:left="227"/>
      </w:pPr>
      <w:r>
        <w:rPr>
          <w:color w:val="1A1A1A"/>
          <w:sz w:val="18"/>
        </w:rPr>
        <w:t>Best ESG Reporting Software for Indian Companies — The Sustainability Cloud</w:t>
      </w:r>
    </w:p>
    <w:p>
      <w:pPr>
        <w:spacing w:after="140"/>
        <w:ind w:left="227"/>
      </w:pPr>
      <w:r>
        <w:rPr>
          <w:color w:val="5A6470"/>
          <w:sz w:val="16"/>
        </w:rPr>
        <w:t>https://www.thesustainabilitycloud.com/blog/esg-reporting-software/</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