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200" w:after="60"/>
        <w:jc w:val="center"/>
      </w:pPr>
      <w:r>
        <w:rPr>
          <w:b/>
          <w:bCs/>
          <w:color w:val="1B2A4A"/>
          <w:sz w:val="44"/>
          <w:szCs w:val="44"/>
        </w:rPr>
        <w:t xml:space="preserve">Business Requirements Specification</w:t>
      </w:r>
    </w:p>
    <w:p>
      <w:pPr>
        <w:spacing w:before="0" w:after="40"/>
        <w:jc w:val="center"/>
      </w:pPr>
      <w:r>
        <w:rPr>
          <w:b/>
          <w:bCs/>
          <w:color w:val="C22228"/>
          <w:sz w:val="28"/>
          <w:szCs w:val="28"/>
        </w:rPr>
        <w:t xml:space="preserve">Own Property Purchase &amp; Mortgage Register (Switzerland)</w:t>
      </w:r>
    </w:p>
    <w:p>
      <w:pPr>
        <w:pBdr>
          <w:bottom w:val="single" w:sz="4" w:space="2" w:color="C8960C"/>
        </w:pBdr>
        <w:spacing w:before="0" w:after="160"/>
        <w:jc w:val="center"/>
      </w:pPr>
      <w:r>
        <w:rPr>
          <w:i/>
          <w:iCs/>
          <w:color w:val="5A5A5A"/>
          <w:sz w:val="20"/>
          <w:szCs w:val="20"/>
        </w:rPr>
        <w:t xml:space="preserve">Recording and tracking of SINHA’S owned residential property acquisitions and their mortgage financing</w:t>
      </w:r>
    </w:p>
    <w:tbl>
      <w:tblPr>
        <w:tblW w:w="9026" w:type="dxa"/>
        <w:tblLayout w:type="fixed"/>
        <w:tblCellMar>
          <w:left w:w="110" w:type="dxa"/>
          <w:right w:w="110" w:type="dxa"/>
        </w:tblCellMar>
        <w:tblLook w:val="04A0" w:firstRow="1" w:lastRow="0" w:firstColumn="1" w:lastColumn="0" w:noHBand="0" w:noVBand="1"/>
      </w:tblPr>
      <w:tblGrid>
        <w:gridCol w:w="2400"/>
        <w:gridCol w:w="2200"/>
        <w:gridCol w:w="2400"/>
        <w:gridCol w:w="2026"/>
      </w:tblGrid>
      <w:tr>
        <w:trPr>
          <w:cantSplit/>
          <w:tblHeader/>
        </w:trPr>
        <w:tc>
          <w:tcPr>
            <w:tcW w:w="24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Document title</w:t>
            </w:r>
          </w:p>
        </w:tc>
        <w:tc>
          <w:tcPr>
            <w:tcW w:w="22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BRS – Own Property Register</w:t>
            </w:r>
          </w:p>
        </w:tc>
        <w:tc>
          <w:tcPr>
            <w:tcW w:w="24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Version</w:t>
            </w:r>
          </w:p>
        </w:tc>
        <w:tc>
          <w:tcPr>
            <w:tcW w:w="2026"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2.0</w:t>
            </w:r>
          </w:p>
        </w:tc>
      </w:tr>
      <w:tr>
        <w:trPr>
          <w:cantSplit/>
        </w:trPr>
        <w:tc>
          <w:tcPr>
            <w:tcW w:w="2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Owner / Author</w:t>
            </w:r>
          </w:p>
        </w:tc>
        <w:tc>
          <w:tcPr>
            <w:tcW w:w="22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Rajeev Sinha (Geschäftsführer)</w:t>
            </w:r>
          </w:p>
        </w:tc>
        <w:tc>
          <w:tcPr>
            <w:tcW w:w="2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Status</w:t>
            </w:r>
          </w:p>
        </w:tc>
        <w:tc>
          <w:tcPr>
            <w:tcW w:w="20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Draft for review</w:t>
            </w:r>
          </w:p>
        </w:tc>
      </w:tr>
      <w:tr>
        <w:trPr>
          <w:cantSplit/>
        </w:trPr>
        <w:tc>
          <w:tcPr>
            <w:tcW w:w="2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Date</w:t>
            </w:r>
          </w:p>
        </w:tc>
        <w:tc>
          <w:tcPr>
            <w:tcW w:w="22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29.05.2026</w:t>
            </w:r>
          </w:p>
        </w:tc>
        <w:tc>
          <w:tcPr>
            <w:tcW w:w="2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Classification</w:t>
            </w:r>
          </w:p>
        </w:tc>
        <w:tc>
          <w:tcPr>
            <w:tcW w:w="20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Internal / Confidential</w:t>
            </w:r>
          </w:p>
        </w:tc>
      </w:tr>
      <w:tr>
        <w:trPr>
          <w:cantSplit/>
        </w:trPr>
        <w:tc>
          <w:tcPr>
            <w:tcW w:w="2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Applies to</w:t>
            </w:r>
          </w:p>
        </w:tc>
        <w:tc>
          <w:tcPr>
            <w:tcW w:w="22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Own properties only (Tenure = OWN)</w:t>
            </w:r>
          </w:p>
        </w:tc>
        <w:tc>
          <w:tcPr>
            <w:tcW w:w="2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Currency</w:t>
            </w:r>
          </w:p>
        </w:tc>
        <w:tc>
          <w:tcPr>
            <w:tcW w:w="20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CHF</w:t>
            </w:r>
          </w:p>
        </w:tc>
      </w:tr>
      <w:tr>
        <w:trPr>
          <w:cantSplit/>
        </w:trPr>
        <w:tc>
          <w:tcPr>
            <w:tcW w:w="2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Related artefact</w:t>
            </w:r>
          </w:p>
        </w:tc>
        <w:tc>
          <w:tcPr>
            <w:tcW w:w="22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SINHAS_Own_Property_Purchase_Mortgage_Register.xlsx</w:t>
            </w:r>
          </w:p>
        </w:tc>
        <w:tc>
          <w:tcPr>
            <w:tcW w:w="2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Source</w:t>
            </w:r>
          </w:p>
        </w:tc>
        <w:tc>
          <w:tcPr>
            <w:tcW w:w="20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PROPERTY MASTER (V4)</w:t>
            </w:r>
          </w:p>
        </w:tc>
      </w:tr>
    </w:tbl>
    <w:p>
      <w:pPr>
        <w:spacing w:before="120" w:after="40"/>
      </w:pPr>
      <w:r>
        <w:rPr>
          <w:i/>
          <w:iCs/>
          <w:color w:val="5A5A5A"/>
          <w:sz w:val="18"/>
          <w:szCs w:val="18"/>
        </w:rPr>
        <w:t xml:space="preserve">This specification defines the business requirements for the accompanying Excel register. It does not prescribe a particular software platform; the register may later be migrated into the property-management database without change of requirements.</w:t>
      </w:r>
    </w:p>
    <w:p>
      <w:pPr>
        <w:spacing w:before="0" w:after="0"/>
      </w:pPr>
      <w:r>
        <w:rPr>
          <w:b/>
          <w:bCs/>
          <w:color w:val="C22228"/>
          <w:sz w:val="18"/>
          <w:szCs w:val="18"/>
        </w:rPr>
        <w:t xml:space="preserve">Revision 2.0: </w:t>
      </w:r>
      <w:r>
        <w:rPr>
          <w:i/>
          <w:iCs/>
          <w:color w:val="5A5A5A"/>
          <w:sz w:val="18"/>
          <w:szCs w:val="18"/>
        </w:rPr>
        <w:t xml:space="preserve">the individual address columns are combined into a single Address field, and a full Refinancing / Aufstockung block (mirroring the initial mortgage) is added together with effective-value KPIs.</w:t>
      </w:r>
    </w:p>
    <w:p>
      <w:r>
        <w:br w:type="page"/>
      </w:r>
    </w:p>
    <w:p>
      <w:pPr>
        <w:keepNext/>
        <w:pBdr>
          <w:bottom w:val="single" w:sz="4" w:space="2" w:color="C8960C"/>
        </w:pBdr>
        <w:spacing w:before="220" w:after="120"/>
      </w:pPr>
      <w:r>
        <w:rPr>
          <w:b/>
          <w:bCs/>
          <w:color w:val="C22228"/>
          <w:sz w:val="26"/>
          <w:szCs w:val="26"/>
        </w:rPr>
        <w:t xml:space="preserve">1.   </w:t>
      </w:r>
      <w:r>
        <w:rPr>
          <w:b/>
          <w:bCs/>
          <w:color w:val="1B2A4A"/>
          <w:sz w:val="26"/>
          <w:szCs w:val="26"/>
        </w:rPr>
        <w:t xml:space="preserve">Introduction</w:t>
      </w:r>
    </w:p>
    <w:p>
      <w:pPr>
        <w:keepNext/>
        <w:spacing w:before="160" w:after="80"/>
      </w:pPr>
      <w:r>
        <w:rPr>
          <w:b/>
          <w:bCs/>
          <w:color w:val="1B2A4A"/>
          <w:sz w:val="22"/>
          <w:szCs w:val="22"/>
        </w:rPr>
        <w:t xml:space="preserve">1.1  Purpose</w:t>
      </w:r>
    </w:p>
    <w:p>
      <w:pPr>
        <w:spacing w:before="0" w:after="100"/>
      </w:pPr>
      <w:r>
        <w:rPr>
          <w:sz w:val="20"/>
          <w:szCs w:val="20"/>
        </w:rPr>
        <w:t xml:space="preserve">This document specifies the business requirements for a structured register that records the purchase of properties owned by SINHA’S in Switzerland and tracks the mortgage financing of each property. It establishes the data to be captured, the business rules that govern that data, and the reporting the register must support.</w:t>
      </w:r>
    </w:p>
    <w:p>
      <w:pPr>
        <w:keepNext/>
        <w:spacing w:before="160" w:after="80"/>
      </w:pPr>
      <w:r>
        <w:rPr>
          <w:b/>
          <w:bCs/>
          <w:color w:val="1B2A4A"/>
          <w:sz w:val="22"/>
          <w:szCs w:val="22"/>
        </w:rPr>
        <w:t xml:space="preserve">1.2  Scope of this document</w:t>
      </w:r>
    </w:p>
    <w:p>
      <w:pPr>
        <w:spacing w:before="0" w:after="100"/>
      </w:pPr>
      <w:r>
        <w:rPr>
          <w:sz w:val="20"/>
          <w:szCs w:val="20"/>
        </w:rPr>
        <w:t xml:space="preserve">The requirements cover identification, location and physical attributes of each owned property (carried over from the existing PROPERTY MASTER), together with purchase and financing data (price, equity, lender, interest, financing type, mortgage dates and outstanding balance). The postal address is stored as a single combined Address field, and the register additionally captures the refinancing / Aufstockung of an existing mortgage. The register applies only to owned properties; sublet/rented-in units remain in the PROPERTY MASTER and are out of scope.</w:t>
      </w:r>
    </w:p>
    <w:p>
      <w:pPr>
        <w:keepNext/>
        <w:spacing w:before="160" w:after="80"/>
      </w:pPr>
      <w:r>
        <w:rPr>
          <w:b/>
          <w:bCs/>
          <w:color w:val="1B2A4A"/>
          <w:sz w:val="22"/>
          <w:szCs w:val="22"/>
        </w:rPr>
        <w:t xml:space="preserve">1.3  Intended audience</w:t>
      </w:r>
    </w:p>
    <w:p>
      <w:pPr>
        <w:spacing w:before="0" w:after="100"/>
      </w:pPr>
      <w:r>
        <w:rPr>
          <w:sz w:val="20"/>
          <w:szCs w:val="20"/>
        </w:rPr>
        <w:t xml:space="preserve">Management (Geschäftsführung), finance and accounting, the property-management team, and external advisors (auditor, mortgage/bank relationship managers).</w:t>
      </w:r>
    </w:p>
    <w:p>
      <w:pPr>
        <w:keepNext/>
        <w:spacing w:before="160" w:after="80"/>
      </w:pPr>
      <w:r>
        <w:rPr>
          <w:b/>
          <w:bCs/>
          <w:color w:val="1B2A4A"/>
          <w:sz w:val="22"/>
          <w:szCs w:val="22"/>
        </w:rPr>
        <w:t xml:space="preserve">1.4  Definitions and abbreviations</w:t>
      </w:r>
    </w:p>
    <w:tbl>
      <w:tblPr>
        <w:tblW w:w="9026" w:type="dxa"/>
        <w:tblLayout w:type="fixed"/>
        <w:tblCellMar>
          <w:left w:w="110" w:type="dxa"/>
          <w:right w:w="110" w:type="dxa"/>
        </w:tblCellMar>
        <w:tblLook w:val="04A0" w:firstRow="1" w:lastRow="0" w:firstColumn="1" w:lastColumn="0" w:noHBand="0" w:noVBand="1"/>
      </w:tblPr>
      <w:tblGrid>
        <w:gridCol w:w="2600"/>
        <w:gridCol w:w="6426"/>
      </w:tblGrid>
      <w:tr>
        <w:trPr>
          <w:cantSplit/>
          <w:tblHeader/>
        </w:trPr>
        <w:tc>
          <w:tcPr>
            <w:tcW w:w="26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Term</w:t>
            </w:r>
          </w:p>
        </w:tc>
        <w:tc>
          <w:tcPr>
            <w:tcW w:w="6426"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Meaning</w:t>
            </w:r>
          </w:p>
        </w:tc>
      </w:tr>
      <w:tr>
        <w:trPr>
          <w:cantSplit/>
        </w:trPr>
        <w:tc>
          <w:tcPr>
            <w:tcW w:w="26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OWN / SUBLET</w:t>
            </w:r>
          </w:p>
        </w:tc>
        <w:tc>
          <w:tcPr>
            <w:tcW w:w="6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Tenure flag in the PROPERTY MASTER. OWN = property owned by SINHA’S; SUBLET = rented-in for re-letting.</w:t>
            </w:r>
          </w:p>
        </w:tc>
      </w:tr>
      <w:tr>
        <w:trPr>
          <w:cantSplit/>
        </w:trPr>
        <w:tc>
          <w:tcPr>
            <w:tcW w:w="26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Property ID</w:t>
            </w:r>
          </w:p>
        </w:tc>
        <w:tc>
          <w:tcPr>
            <w:tcW w:w="6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Unique Smart Property Code identifying each unit (see Section 11).</w:t>
            </w:r>
          </w:p>
        </w:tc>
      </w:tr>
      <w:tr>
        <w:trPr>
          <w:cantSplit/>
        </w:trPr>
        <w:tc>
          <w:tcPr>
            <w:tcW w:w="26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SARON</w:t>
            </w:r>
          </w:p>
        </w:tc>
        <w:tc>
          <w:tcPr>
            <w:tcW w:w="6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Swiss Average Rate Overnight – the compounded reference rate for variable-rate mortgages.</w:t>
            </w:r>
          </w:p>
        </w:tc>
      </w:tr>
      <w:tr>
        <w:trPr>
          <w:cantSplit/>
        </w:trPr>
        <w:tc>
          <w:tcPr>
            <w:tcW w:w="26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Fixed-rate</w:t>
            </w:r>
          </w:p>
        </w:tc>
        <w:tc>
          <w:tcPr>
            <w:tcW w:w="6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Mortgage with an interest rate locked for an agreed term.</w:t>
            </w:r>
          </w:p>
        </w:tc>
      </w:tr>
      <w:tr>
        <w:trPr>
          <w:cantSplit/>
        </w:trPr>
        <w:tc>
          <w:tcPr>
            <w:tcW w:w="26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LTV</w:t>
            </w:r>
          </w:p>
        </w:tc>
        <w:tc>
          <w:tcPr>
            <w:tcW w:w="6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Loan-to-Value = mortgage outstanding divided by property value.</w:t>
            </w:r>
          </w:p>
        </w:tc>
      </w:tr>
      <w:tr>
        <w:trPr>
          <w:cantSplit/>
        </w:trPr>
        <w:tc>
          <w:tcPr>
            <w:tcW w:w="26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Equity / Own capital</w:t>
            </w:r>
          </w:p>
        </w:tc>
        <w:tc>
          <w:tcPr>
            <w:tcW w:w="6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Owner’s funds contributed to the purchase (cash and pillar 2/3a).</w:t>
            </w:r>
          </w:p>
        </w:tc>
      </w:tr>
      <w:tr>
        <w:trPr>
          <w:cantSplit/>
        </w:trPr>
        <w:tc>
          <w:tcPr>
            <w:tcW w:w="26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FINMA</w:t>
            </w:r>
          </w:p>
        </w:tc>
        <w:tc>
          <w:tcPr>
            <w:tcW w:w="6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Swiss Financial Market Supervisory Authority (lending guidance).</w:t>
            </w:r>
          </w:p>
        </w:tc>
      </w:tr>
    </w:tbl>
    <w:p>
      <w:pPr>
        <w:keepNext/>
        <w:pBdr>
          <w:bottom w:val="single" w:sz="4" w:space="2" w:color="C8960C"/>
        </w:pBdr>
        <w:spacing w:before="220" w:after="120"/>
      </w:pPr>
      <w:r>
        <w:rPr>
          <w:b/>
          <w:bCs/>
          <w:color w:val="C22228"/>
          <w:sz w:val="26"/>
          <w:szCs w:val="26"/>
        </w:rPr>
        <w:t xml:space="preserve">2.   </w:t>
      </w:r>
      <w:r>
        <w:rPr>
          <w:b/>
          <w:bCs/>
          <w:color w:val="1B2A4A"/>
          <w:sz w:val="26"/>
          <w:szCs w:val="26"/>
        </w:rPr>
        <w:t xml:space="preserve">Business context</w:t>
      </w:r>
    </w:p>
    <w:p>
      <w:pPr>
        <w:spacing w:before="0" w:after="100"/>
      </w:pPr>
      <w:r>
        <w:rPr>
          <w:sz w:val="20"/>
          <w:szCs w:val="20"/>
        </w:rPr>
        <w:t xml:space="preserve">SINHA’S operates a portfolio of furnished serviced apartments across Switzerland. The portfolio combines rented-in (sublet) units and a growing number of owned units. Ownership data and the associated mortgage financing are currently not maintained in a single, consistent structure, which makes it difficult to monitor equity, loan-to-value, interest cost and refinancing dates across the owned portfolio.</w:t>
      </w:r>
    </w:p>
    <w:p>
      <w:pPr>
        <w:spacing w:before="0" w:after="100"/>
      </w:pPr>
      <w:r>
        <w:rPr>
          <w:sz w:val="20"/>
          <w:szCs w:val="20"/>
        </w:rPr>
        <w:t xml:space="preserve">A dedicated register – seeded from the 22 owned units already identified in the PROPERTY MASTER – will provide a single source of truth for acquisition and financing data, support audit and tax preparation, and give management an at-a-glance view of financing exposure and upcoming mortgage renewals.</w:t>
      </w:r>
    </w:p>
    <w:p>
      <w:pPr>
        <w:keepNext/>
        <w:pBdr>
          <w:bottom w:val="single" w:sz="4" w:space="2" w:color="C8960C"/>
        </w:pBdr>
        <w:spacing w:before="220" w:after="120"/>
      </w:pPr>
      <w:r>
        <w:rPr>
          <w:b/>
          <w:bCs/>
          <w:color w:val="C22228"/>
          <w:sz w:val="26"/>
          <w:szCs w:val="26"/>
        </w:rPr>
        <w:t xml:space="preserve">3.   </w:t>
      </w:r>
      <w:r>
        <w:rPr>
          <w:b/>
          <w:bCs/>
          <w:color w:val="1B2A4A"/>
          <w:sz w:val="26"/>
          <w:szCs w:val="26"/>
        </w:rPr>
        <w:t xml:space="preserve">Objectives and success criteria</w:t>
      </w:r>
    </w:p>
    <w:p>
      <w:pPr>
        <w:numPr>
          <w:ilvl w:val="0"/>
          <w:numId w:val="1"/>
        </w:numPr>
        <w:spacing w:before="0" w:after="40"/>
      </w:pPr>
      <w:r>
        <w:rPr>
          <w:sz w:val="20"/>
          <w:szCs w:val="20"/>
        </w:rPr>
        <w:t xml:space="preserve">Maintain a complete, accurate record of every owned property and its acquisition cost.</w:t>
      </w:r>
    </w:p>
    <w:p>
      <w:pPr>
        <w:numPr>
          <w:ilvl w:val="0"/>
          <w:numId w:val="1"/>
        </w:numPr>
        <w:spacing w:before="0" w:after="40"/>
      </w:pPr>
      <w:r>
        <w:rPr>
          <w:sz w:val="20"/>
          <w:szCs w:val="20"/>
        </w:rPr>
        <w:t xml:space="preserve">Track each mortgage: lender, financing type (SARON or fixed), interest rate, start and maturity dates, amortization and current outstanding balance.</w:t>
      </w:r>
    </w:p>
    <w:p>
      <w:pPr>
        <w:numPr>
          <w:ilvl w:val="0"/>
          <w:numId w:val="1"/>
        </w:numPr>
        <w:spacing w:before="0" w:after="40"/>
      </w:pPr>
      <w:r>
        <w:rPr>
          <w:sz w:val="20"/>
          <w:szCs w:val="20"/>
        </w:rPr>
        <w:t xml:space="preserve">Automatically derive key indicators – total acquisition cost, own-capital ratio, loan-to-value, and annual/monthly interest cost.</w:t>
      </w:r>
    </w:p>
    <w:p>
      <w:pPr>
        <w:numPr>
          <w:ilvl w:val="0"/>
          <w:numId w:val="1"/>
        </w:numPr>
        <w:spacing w:before="0" w:after="40"/>
      </w:pPr>
      <w:r>
        <w:rPr>
          <w:sz w:val="20"/>
          <w:szCs w:val="20"/>
        </w:rPr>
        <w:t xml:space="preserve">Flag refinancing dates so fixed-rate maturities and SARON reviews are not missed.</w:t>
      </w:r>
    </w:p>
    <w:p>
      <w:pPr>
        <w:numPr>
          <w:ilvl w:val="0"/>
          <w:numId w:val="1"/>
        </w:numPr>
        <w:spacing w:before="0" w:after="40"/>
      </w:pPr>
      <w:r>
        <w:rPr>
          <w:sz w:val="20"/>
          <w:szCs w:val="20"/>
        </w:rPr>
        <w:t xml:space="preserve">Reuse the existing Property ID so the register reconciles 1:1 with the PROPERTY MASTER.</w:t>
      </w:r>
    </w:p>
    <w:p>
      <w:pPr>
        <w:numPr>
          <w:ilvl w:val="0"/>
          <w:numId w:val="1"/>
        </w:numPr>
        <w:spacing w:before="0" w:after="40"/>
      </w:pPr>
      <w:r>
        <w:rPr>
          <w:sz w:val="20"/>
          <w:szCs w:val="20"/>
        </w:rPr>
        <w:t xml:space="preserve">Remain simple enough to maintain in Excel today and migrate to the property database later without rework.</w:t>
      </w:r>
    </w:p>
    <w:p>
      <w:pPr>
        <w:keepNext/>
        <w:pBdr>
          <w:bottom w:val="single" w:sz="4" w:space="2" w:color="C8960C"/>
        </w:pBdr>
        <w:spacing w:before="220" w:after="120"/>
      </w:pPr>
      <w:r>
        <w:rPr>
          <w:b/>
          <w:bCs/>
          <w:color w:val="C22228"/>
          <w:sz w:val="26"/>
          <w:szCs w:val="26"/>
        </w:rPr>
        <w:t xml:space="preserve">4.   </w:t>
      </w:r>
      <w:r>
        <w:rPr>
          <w:b/>
          <w:bCs/>
          <w:color w:val="1B2A4A"/>
          <w:sz w:val="26"/>
          <w:szCs w:val="26"/>
        </w:rPr>
        <w:t xml:space="preserve">Scope</w:t>
      </w:r>
    </w:p>
    <w:p>
      <w:pPr>
        <w:keepNext/>
        <w:spacing w:before="160" w:after="80"/>
      </w:pPr>
      <w:r>
        <w:rPr>
          <w:b/>
          <w:bCs/>
          <w:color w:val="1B2A4A"/>
          <w:sz w:val="22"/>
          <w:szCs w:val="22"/>
        </w:rPr>
        <w:t xml:space="preserve">4.1  In scope</w:t>
      </w:r>
    </w:p>
    <w:p>
      <w:pPr>
        <w:numPr>
          <w:ilvl w:val="0"/>
          <w:numId w:val="1"/>
        </w:numPr>
        <w:spacing w:before="0" w:after="40"/>
      </w:pPr>
      <w:r>
        <w:rPr>
          <w:sz w:val="20"/>
          <w:szCs w:val="20"/>
        </w:rPr>
        <w:t xml:space="preserve">All properties with tenure OWN in the PROPERTY MASTER (currently 22 units).</w:t>
      </w:r>
    </w:p>
    <w:p>
      <w:pPr>
        <w:numPr>
          <w:ilvl w:val="0"/>
          <w:numId w:val="1"/>
        </w:numPr>
        <w:spacing w:before="0" w:after="40"/>
      </w:pPr>
      <w:r>
        <w:rPr>
          <w:sz w:val="20"/>
          <w:szCs w:val="20"/>
        </w:rPr>
        <w:t xml:space="preserve">Purchase data and mortgage/financing data for each owned property.</w:t>
      </w:r>
    </w:p>
    <w:p>
      <w:pPr>
        <w:numPr>
          <w:ilvl w:val="0"/>
          <w:numId w:val="1"/>
        </w:numPr>
        <w:spacing w:before="0" w:after="40"/>
      </w:pPr>
      <w:r>
        <w:rPr>
          <w:sz w:val="20"/>
          <w:szCs w:val="20"/>
        </w:rPr>
        <w:t xml:space="preserve">Calculated KPIs (acquisition cost, equity %, LTV, interest cost) and portfolio totals.</w:t>
      </w:r>
    </w:p>
    <w:p>
      <w:pPr>
        <w:keepNext/>
        <w:spacing w:before="160" w:after="80"/>
      </w:pPr>
      <w:r>
        <w:rPr>
          <w:b/>
          <w:bCs/>
          <w:color w:val="1B2A4A"/>
          <w:sz w:val="22"/>
          <w:szCs w:val="22"/>
        </w:rPr>
        <w:t xml:space="preserve">4.2  Out of scope</w:t>
      </w:r>
    </w:p>
    <w:p>
      <w:pPr>
        <w:numPr>
          <w:ilvl w:val="0"/>
          <w:numId w:val="1"/>
        </w:numPr>
        <w:spacing w:before="0" w:after="40"/>
      </w:pPr>
      <w:r>
        <w:rPr>
          <w:sz w:val="20"/>
          <w:szCs w:val="20"/>
        </w:rPr>
        <w:t xml:space="preserve">Sublet / rented-in units (remain in the PROPERTY MASTER).</w:t>
      </w:r>
    </w:p>
    <w:p>
      <w:pPr>
        <w:numPr>
          <w:ilvl w:val="0"/>
          <w:numId w:val="1"/>
        </w:numPr>
        <w:spacing w:before="0" w:after="40"/>
      </w:pPr>
      <w:r>
        <w:rPr>
          <w:sz w:val="20"/>
          <w:szCs w:val="20"/>
        </w:rPr>
        <w:t xml:space="preserve">Day-to-day tenancy, occupancy and operating-cost management.</w:t>
      </w:r>
    </w:p>
    <w:p>
      <w:pPr>
        <w:numPr>
          <w:ilvl w:val="0"/>
          <w:numId w:val="1"/>
        </w:numPr>
        <w:spacing w:before="0" w:after="40"/>
      </w:pPr>
      <w:r>
        <w:rPr>
          <w:sz w:val="20"/>
          <w:szCs w:val="20"/>
        </w:rPr>
        <w:t xml:space="preserve">Accounting postings and the statutory Jahresrechnung (handled separately).</w:t>
      </w:r>
    </w:p>
    <w:p>
      <w:pPr>
        <w:keepNext/>
        <w:pBdr>
          <w:bottom w:val="single" w:sz="4" w:space="2" w:color="C8960C"/>
        </w:pBdr>
        <w:spacing w:before="220" w:after="120"/>
      </w:pPr>
      <w:r>
        <w:rPr>
          <w:b/>
          <w:bCs/>
          <w:color w:val="C22228"/>
          <w:sz w:val="26"/>
          <w:szCs w:val="26"/>
        </w:rPr>
        <w:t xml:space="preserve">5.   </w:t>
      </w:r>
      <w:r>
        <w:rPr>
          <w:b/>
          <w:bCs/>
          <w:color w:val="1B2A4A"/>
          <w:sz w:val="26"/>
          <w:szCs w:val="26"/>
        </w:rPr>
        <w:t xml:space="preserve">Stakeholders</w:t>
      </w:r>
    </w:p>
    <w:tbl>
      <w:tblPr>
        <w:tblW w:w="9026" w:type="dxa"/>
        <w:tblLayout w:type="fixed"/>
        <w:tblCellMar>
          <w:left w:w="110" w:type="dxa"/>
          <w:right w:w="110" w:type="dxa"/>
        </w:tblCellMar>
        <w:tblLook w:val="04A0" w:firstRow="1" w:lastRow="0" w:firstColumn="1" w:lastColumn="0" w:noHBand="0" w:noVBand="1"/>
      </w:tblPr>
      <w:tblGrid>
        <w:gridCol w:w="2600"/>
        <w:gridCol w:w="3213"/>
        <w:gridCol w:w="3213"/>
      </w:tblGrid>
      <w:tr>
        <w:trPr>
          <w:cantSplit/>
          <w:tblHeader/>
        </w:trPr>
        <w:tc>
          <w:tcPr>
            <w:tcW w:w="26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Stakeholder</w:t>
            </w:r>
          </w:p>
        </w:tc>
        <w:tc>
          <w:tcPr>
            <w:tcW w:w="3213"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Interest</w:t>
            </w:r>
          </w:p>
        </w:tc>
        <w:tc>
          <w:tcPr>
            <w:tcW w:w="3213"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Responsibility</w:t>
            </w:r>
          </w:p>
        </w:tc>
      </w:tr>
      <w:tr>
        <w:trPr>
          <w:cantSplit/>
        </w:trPr>
        <w:tc>
          <w:tcPr>
            <w:tcW w:w="26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Geschäftsführung</w:t>
            </w:r>
          </w:p>
        </w:tc>
        <w:tc>
          <w:tcPr>
            <w:tcW w:w="3213"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Financing exposure, equity, renewals</w:t>
            </w:r>
          </w:p>
        </w:tc>
        <w:tc>
          <w:tcPr>
            <w:tcW w:w="3213"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Approves data; reviews KPIs</w:t>
            </w:r>
          </w:p>
        </w:tc>
      </w:tr>
      <w:tr>
        <w:trPr>
          <w:cantSplit/>
        </w:trPr>
        <w:tc>
          <w:tcPr>
            <w:tcW w:w="26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Finance / Accounting</w:t>
            </w:r>
          </w:p>
        </w:tc>
        <w:tc>
          <w:tcPr>
            <w:tcW w:w="3213"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Interest cost, LTV, audit/tax inputs</w:t>
            </w:r>
          </w:p>
        </w:tc>
        <w:tc>
          <w:tcPr>
            <w:tcW w:w="3213"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Maintains financing fields</w:t>
            </w:r>
          </w:p>
        </w:tc>
      </w:tr>
      <w:tr>
        <w:trPr>
          <w:cantSplit/>
        </w:trPr>
        <w:tc>
          <w:tcPr>
            <w:tcW w:w="26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Property team</w:t>
            </w:r>
          </w:p>
        </w:tc>
        <w:tc>
          <w:tcPr>
            <w:tcW w:w="3213"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Property attributes &amp; IDs</w:t>
            </w:r>
          </w:p>
        </w:tc>
        <w:tc>
          <w:tcPr>
            <w:tcW w:w="3213"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Maintains identification/location</w:t>
            </w:r>
          </w:p>
        </w:tc>
      </w:tr>
      <w:tr>
        <w:trPr>
          <w:cantSplit/>
        </w:trPr>
        <w:tc>
          <w:tcPr>
            <w:tcW w:w="26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Auditor / Bank</w:t>
            </w:r>
          </w:p>
        </w:tc>
        <w:tc>
          <w:tcPr>
            <w:tcW w:w="3213"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Verification of mortgage data</w:t>
            </w:r>
          </w:p>
        </w:tc>
        <w:tc>
          <w:tcPr>
            <w:tcW w:w="3213"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Consumes reports</w:t>
            </w:r>
          </w:p>
        </w:tc>
      </w:tr>
    </w:tbl>
    <w:p>
      <w:r>
        <w:br w:type="page"/>
      </w:r>
    </w:p>
    <w:p>
      <w:pPr>
        <w:keepNext/>
        <w:pBdr>
          <w:bottom w:val="single" w:sz="4" w:space="2" w:color="C8960C"/>
        </w:pBdr>
        <w:spacing w:before="220" w:after="120"/>
      </w:pPr>
      <w:r>
        <w:rPr>
          <w:b/>
          <w:bCs/>
          <w:color w:val="C22228"/>
          <w:sz w:val="26"/>
          <w:szCs w:val="26"/>
        </w:rPr>
        <w:t xml:space="preserve">6.   </w:t>
      </w:r>
      <w:r>
        <w:rPr>
          <w:b/>
          <w:bCs/>
          <w:color w:val="1B2A4A"/>
          <w:sz w:val="26"/>
          <w:szCs w:val="26"/>
        </w:rPr>
        <w:t xml:space="preserve">Functional requirements</w:t>
      </w:r>
    </w:p>
    <w:tbl>
      <w:tblPr>
        <w:tblW w:w="9026" w:type="dxa"/>
        <w:tblLayout w:type="fixed"/>
        <w:tblCellMar>
          <w:left w:w="110" w:type="dxa"/>
          <w:right w:w="110" w:type="dxa"/>
        </w:tblCellMar>
        <w:tblLook w:val="04A0" w:firstRow="1" w:lastRow="0" w:firstColumn="1" w:lastColumn="0" w:noHBand="0" w:noVBand="1"/>
      </w:tblPr>
      <w:tblGrid>
        <w:gridCol w:w="1100"/>
        <w:gridCol w:w="6526"/>
        <w:gridCol w:w="1400"/>
      </w:tblGrid>
      <w:tr>
        <w:trPr>
          <w:cantSplit/>
          <w:tblHeader/>
        </w:trPr>
        <w:tc>
          <w:tcPr>
            <w:tcW w:w="11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ID</w:t>
            </w:r>
          </w:p>
        </w:tc>
        <w:tc>
          <w:tcPr>
            <w:tcW w:w="6526"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Requirement</w:t>
            </w:r>
          </w:p>
        </w:tc>
        <w:tc>
          <w:tcPr>
            <w:tcW w:w="14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Priority</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FR-01</w:t>
            </w:r>
          </w:p>
        </w:tc>
        <w:tc>
          <w:tcPr>
            <w:tcW w:w="65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The register shall hold one row per owned property, uniquely keyed by Property ID.</w:t>
            </w:r>
          </w:p>
        </w:tc>
        <w:tc>
          <w:tcPr>
            <w:tcW w:w="1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FR-02</w:t>
            </w:r>
          </w:p>
        </w:tc>
        <w:tc>
          <w:tcPr>
            <w:tcW w:w="65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The register shall carry over identification and physical attributes from the PROPERTY MASTER. The postal address (street, number, postcode, city, canton, country) shall be held as a single combined Address field; coordinates are kept as a separate field.</w:t>
            </w:r>
          </w:p>
        </w:tc>
        <w:tc>
          <w:tcPr>
            <w:tcW w:w="1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FR-03</w:t>
            </w:r>
          </w:p>
        </w:tc>
        <w:tc>
          <w:tcPr>
            <w:tcW w:w="65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The register shall record purchase data: purchase date, purchase price, notary &amp; land-registry costs, and own capital / equity.</w:t>
            </w:r>
          </w:p>
        </w:tc>
        <w:tc>
          <w:tcPr>
            <w:tcW w:w="1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FR-04</w:t>
            </w:r>
          </w:p>
        </w:tc>
        <w:tc>
          <w:tcPr>
            <w:tcW w:w="65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The register shall record mortgage data: financing bank, financing type (SARON or fixed), interest rate, SARON margin, initial mortgage amount, mortgage start date, term, maturity/renewal date, amortization type and annual amortization.</w:t>
            </w:r>
          </w:p>
        </w:tc>
        <w:tc>
          <w:tcPr>
            <w:tcW w:w="1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FR-05</w:t>
            </w:r>
          </w:p>
        </w:tc>
        <w:tc>
          <w:tcPr>
            <w:tcW w:w="65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The register shall record the current mortgage outstanding as at a reporting date.</w:t>
            </w:r>
          </w:p>
        </w:tc>
        <w:tc>
          <w:tcPr>
            <w:tcW w:w="1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FR-06</w:t>
            </w:r>
          </w:p>
        </w:tc>
        <w:tc>
          <w:tcPr>
            <w:tcW w:w="65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The system shall compute total acquisition cost = purchase price + notary &amp; land-registry costs.</w:t>
            </w:r>
          </w:p>
        </w:tc>
        <w:tc>
          <w:tcPr>
            <w:tcW w:w="1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FR-07</w:t>
            </w:r>
          </w:p>
        </w:tc>
        <w:tc>
          <w:tcPr>
            <w:tcW w:w="65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The system shall compute own-capital % = own capital / purchase price, and loan-to-value % = current mortgage / purchase price.</w:t>
            </w:r>
          </w:p>
        </w:tc>
        <w:tc>
          <w:tcPr>
            <w:tcW w:w="1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FR-08</w:t>
            </w:r>
          </w:p>
        </w:tc>
        <w:tc>
          <w:tcPr>
            <w:tcW w:w="65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The system shall compute annual interest cost = current mortgage × interest rate, and monthly interest cost = annual / 12.</w:t>
            </w:r>
          </w:p>
        </w:tc>
        <w:tc>
          <w:tcPr>
            <w:tcW w:w="1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FR-09</w:t>
            </w:r>
          </w:p>
        </w:tc>
        <w:tc>
          <w:tcPr>
            <w:tcW w:w="65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The system shall provide portfolio totals (price, equity, mortgage, interest) and a portfolio LTV and equity ratio.</w:t>
            </w:r>
          </w:p>
        </w:tc>
        <w:tc>
          <w:tcPr>
            <w:tcW w:w="1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Should</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FR-10</w:t>
            </w:r>
          </w:p>
        </w:tc>
        <w:tc>
          <w:tcPr>
            <w:tcW w:w="65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Financing type and amortization type shall be restricted to controlled lists (SARON/Fixed; Direct/Indirect).</w:t>
            </w:r>
          </w:p>
        </w:tc>
        <w:tc>
          <w:tcPr>
            <w:tcW w:w="1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Should</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FR-11</w:t>
            </w:r>
          </w:p>
        </w:tc>
        <w:tc>
          <w:tcPr>
            <w:tcW w:w="65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Calculated fields shall return blank (not an error) while inputs are incomplete.</w:t>
            </w:r>
          </w:p>
        </w:tc>
        <w:tc>
          <w:tcPr>
            <w:tcW w:w="1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FR-12</w:t>
            </w:r>
          </w:p>
        </w:tc>
        <w:tc>
          <w:tcPr>
            <w:tcW w:w="65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The register shall be filterable/sortable by city, canton, bank, financing type and maturity date.</w:t>
            </w:r>
          </w:p>
        </w:tc>
        <w:tc>
          <w:tcPr>
            <w:tcW w:w="1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Should</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FR-13</w:t>
            </w:r>
          </w:p>
        </w:tc>
        <w:tc>
          <w:tcPr>
            <w:tcW w:w="65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The register shall record refinancing / Aufstockung details that mirror the initial mortgage (bank, financing type, interest rate, SARON margin, amount, start date, term, maturity, amortization type, annual amortization and current outstanding), plus a refinanced flag, refinancing date, reason and top-up (Aufstockung) amount.</w:t>
            </w:r>
          </w:p>
        </w:tc>
        <w:tc>
          <w:tcPr>
            <w:tcW w:w="14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Must</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FR-14</w:t>
            </w:r>
          </w:p>
        </w:tc>
        <w:tc>
          <w:tcPr>
            <w:tcW w:w="65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The system shall derive an effective current mortgage and effective interest rate (refinanced values where present, otherwise initial values) and compute LTV and interest cost from these, so KPIs remain correct before and after refinancing.</w:t>
            </w:r>
          </w:p>
        </w:tc>
        <w:tc>
          <w:tcPr>
            <w:tcW w:w="14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Must</w:t>
            </w:r>
          </w:p>
        </w:tc>
      </w:tr>
    </w:tbl>
    <w:p>
      <w:r>
        <w:br w:type="page"/>
      </w:r>
    </w:p>
    <w:p>
      <w:pPr>
        <w:keepNext/>
        <w:pBdr>
          <w:bottom w:val="single" w:sz="4" w:space="2" w:color="C8960C"/>
        </w:pBdr>
        <w:spacing w:before="220" w:after="120"/>
      </w:pPr>
      <w:r>
        <w:rPr>
          <w:b/>
          <w:bCs/>
          <w:color w:val="C22228"/>
          <w:sz w:val="26"/>
          <w:szCs w:val="26"/>
        </w:rPr>
        <w:t xml:space="preserve">7.   </w:t>
      </w:r>
      <w:r>
        <w:rPr>
          <w:b/>
          <w:bCs/>
          <w:color w:val="1B2A4A"/>
          <w:sz w:val="26"/>
          <w:szCs w:val="26"/>
        </w:rPr>
        <w:t xml:space="preserve">Data requirements (data dictionary)</w:t>
      </w:r>
    </w:p>
    <w:p>
      <w:pPr>
        <w:spacing w:before="0" w:after="100"/>
      </w:pPr>
      <w:r>
        <w:rPr>
          <w:sz w:val="20"/>
          <w:szCs w:val="20"/>
        </w:rPr>
        <w:t xml:space="preserve">Each owned property is described by the fields below. “Source” indicates whether a value is carried over from the PROPERTY MASTER (Master), entered by the user (Input) or computed (Calc).</w:t>
      </w:r>
    </w:p>
    <w:tbl>
      <w:tblPr>
        <w:tblW w:w="9026" w:type="dxa"/>
        <w:tblLayout w:type="fixed"/>
        <w:tblCellMar>
          <w:left w:w="110" w:type="dxa"/>
          <w:right w:w="110" w:type="dxa"/>
        </w:tblCellMar>
        <w:tblLook w:val="04A0" w:firstRow="1" w:lastRow="0" w:firstColumn="1" w:lastColumn="0" w:noHBand="0" w:noVBand="1"/>
      </w:tblPr>
      <w:tblGrid>
        <w:gridCol w:w="3000"/>
        <w:gridCol w:w="1300"/>
        <w:gridCol w:w="1300"/>
        <w:gridCol w:w="3426"/>
      </w:tblGrid>
      <w:tr>
        <w:trPr>
          <w:cantSplit/>
          <w:tblHeader/>
        </w:trPr>
        <w:tc>
          <w:tcPr>
            <w:tcW w:w="30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Field</w:t>
            </w:r>
          </w:p>
        </w:tc>
        <w:tc>
          <w:tcPr>
            <w:tcW w:w="13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Type</w:t>
            </w:r>
          </w:p>
        </w:tc>
        <w:tc>
          <w:tcPr>
            <w:tcW w:w="13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Source</w:t>
            </w:r>
          </w:p>
        </w:tc>
        <w:tc>
          <w:tcPr>
            <w:tcW w:w="3426"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Definition / rule</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Property ID</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Text</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Master</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Primary key; Smart Property Code, must match PROPERTY MASTER.</w:t>
            </w:r>
          </w:p>
        </w:tc>
      </w:tr>
      <w:tr>
        <w:trPr>
          <w:cantSplit/>
        </w:trPr>
        <w:tc>
          <w:tcPr>
            <w:tcW w:w="30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7"/>
                <w:szCs w:val="17"/>
              </w:rPr>
              <w:t xml:space="preserve">Property Name / Type / Class</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Text</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Master</w:t>
            </w:r>
          </w:p>
        </w:tc>
        <w:tc>
          <w:tcPr>
            <w:tcW w:w="3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Descriptive identification of the unit.</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Address (combined)</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Text</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Master</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Single field: Street No., Postcode City, Canton, Country.</w:t>
            </w:r>
          </w:p>
        </w:tc>
      </w:tr>
      <w:tr>
        <w:trPr>
          <w:cantSplit/>
        </w:trPr>
        <w:tc>
          <w:tcPr>
            <w:tcW w:w="30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7"/>
                <w:szCs w:val="17"/>
              </w:rPr>
              <w:t xml:space="preserve">Coordinates (Lat/Long)</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Text</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Input</w:t>
            </w:r>
          </w:p>
        </w:tc>
        <w:tc>
          <w:tcPr>
            <w:tcW w:w="3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Geo-coordinates for mapping (optional).</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Floor, Position, Rooms, Size (sqm)</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Text/Num</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Master</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Physical attributes of the unit.</w:t>
            </w:r>
          </w:p>
        </w:tc>
      </w:tr>
      <w:tr>
        <w:trPr>
          <w:cantSplit/>
        </w:trPr>
        <w:tc>
          <w:tcPr>
            <w:tcW w:w="30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7"/>
                <w:szCs w:val="17"/>
              </w:rPr>
              <w:t xml:space="preserve">Purchase Date</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Date</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Input</w:t>
            </w:r>
          </w:p>
        </w:tc>
        <w:tc>
          <w:tcPr>
            <w:tcW w:w="3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Notarised purchase / land-register date.</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Purchase Price (CHF)</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Number</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Input</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Agreed price per deed (excl. costs).</w:t>
            </w:r>
          </w:p>
        </w:tc>
      </w:tr>
      <w:tr>
        <w:trPr>
          <w:cantSplit/>
        </w:trPr>
        <w:tc>
          <w:tcPr>
            <w:tcW w:w="30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7"/>
                <w:szCs w:val="17"/>
              </w:rPr>
              <w:t xml:space="preserve">Notary &amp; Land Reg. Costs (CHF)</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Number</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Input</w:t>
            </w:r>
          </w:p>
        </w:tc>
        <w:tc>
          <w:tcPr>
            <w:tcW w:w="3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Notary, land-registry and transfer costs.</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Total Acquisition Cost (CHF)</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Calc</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Calc</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Price + notary &amp; land-registry costs.</w:t>
            </w:r>
          </w:p>
        </w:tc>
      </w:tr>
      <w:tr>
        <w:trPr>
          <w:cantSplit/>
        </w:trPr>
        <w:tc>
          <w:tcPr>
            <w:tcW w:w="30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7"/>
                <w:szCs w:val="17"/>
              </w:rPr>
              <w:t xml:space="preserve">Own Capital / Equity (CHF)</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Number</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Input</w:t>
            </w:r>
          </w:p>
        </w:tc>
        <w:tc>
          <w:tcPr>
            <w:tcW w:w="3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Equity contributed; min. 20% (≥10% non-pension).</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Own Capital %</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Calc</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Calc</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Own capital / purchase price; target ≥ 20%.</w:t>
            </w:r>
          </w:p>
        </w:tc>
      </w:tr>
      <w:tr>
        <w:trPr>
          <w:cantSplit/>
        </w:trPr>
        <w:tc>
          <w:tcPr>
            <w:tcW w:w="30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7"/>
                <w:szCs w:val="17"/>
              </w:rPr>
              <w:t xml:space="preserve">Initial mortgage block</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Text/Num</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Input</w:t>
            </w:r>
          </w:p>
        </w:tc>
        <w:tc>
          <w:tcPr>
            <w:tcW w:w="3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Bank, type (SARON/Fixed), rate, SARON margin, initial amount, start date, term, maturity, amortization type, annual amortization, current outstanding.</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Refinancing / Aufstockung block</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Text/Num</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Input</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Mirror of the initial mortgage for refinancing: Refinanced? (Yes/No), date, reason (Renewal/Rate/Top-up/Bank switch), top-up amount (Aufstockung), bank, type, rate, margin, new amount, start, term, maturity, amortization, current outstanding.</w:t>
            </w:r>
          </w:p>
        </w:tc>
      </w:tr>
      <w:tr>
        <w:trPr>
          <w:cantSplit/>
        </w:trPr>
        <w:tc>
          <w:tcPr>
            <w:tcW w:w="30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7"/>
                <w:szCs w:val="17"/>
              </w:rPr>
              <w:t xml:space="preserve">Effective Current Mortgage / Rate</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Calc</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Calc</w:t>
            </w:r>
          </w:p>
        </w:tc>
        <w:tc>
          <w:tcPr>
            <w:tcW w:w="3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Refinanced values when present, otherwise initial values.</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Loan-to-Value (LTV) %</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Calc</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Calc</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Effective mortgage / price; cap ≈ 80%.</w:t>
            </w:r>
          </w:p>
        </w:tc>
      </w:tr>
      <w:tr>
        <w:trPr>
          <w:cantSplit/>
        </w:trPr>
        <w:tc>
          <w:tcPr>
            <w:tcW w:w="30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7"/>
                <w:szCs w:val="17"/>
              </w:rPr>
              <w:t xml:space="preserve">Annual / Monthly Interest Cost (CHF)</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Calc</w:t>
            </w:r>
          </w:p>
        </w:tc>
        <w:tc>
          <w:tcPr>
            <w:tcW w:w="1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Calc</w:t>
            </w:r>
          </w:p>
        </w:tc>
        <w:tc>
          <w:tcPr>
            <w:tcW w:w="34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7"/>
                <w:szCs w:val="17"/>
              </w:rPr>
              <w:t xml:space="preserve">Effective mortgage × effective rate; and ÷ 12.</w:t>
            </w:r>
          </w:p>
        </w:tc>
      </w:tr>
      <w:tr>
        <w:trPr>
          <w:cantSplit/>
        </w:trPr>
        <w:tc>
          <w:tcPr>
            <w:tcW w:w="30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7"/>
                <w:szCs w:val="17"/>
              </w:rPr>
              <w:t xml:space="preserve">Remarks</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Text</w:t>
            </w:r>
          </w:p>
        </w:tc>
        <w:tc>
          <w:tcPr>
            <w:tcW w:w="1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Input</w:t>
            </w:r>
          </w:p>
        </w:tc>
        <w:tc>
          <w:tcPr>
            <w:tcW w:w="34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7"/>
                <w:szCs w:val="17"/>
              </w:rPr>
              <w:t xml:space="preserve">Free notes (tranche splits, conditions, Aufstockung detail).</w:t>
            </w:r>
          </w:p>
        </w:tc>
      </w:tr>
    </w:tbl>
    <w:p>
      <w:r>
        <w:br w:type="page"/>
      </w:r>
    </w:p>
    <w:p>
      <w:pPr>
        <w:keepNext/>
        <w:pBdr>
          <w:bottom w:val="single" w:sz="4" w:space="2" w:color="C8960C"/>
        </w:pBdr>
        <w:spacing w:before="220" w:after="120"/>
      </w:pPr>
      <w:r>
        <w:rPr>
          <w:b/>
          <w:bCs/>
          <w:color w:val="C22228"/>
          <w:sz w:val="26"/>
          <w:szCs w:val="26"/>
        </w:rPr>
        <w:t xml:space="preserve">8.   </w:t>
      </w:r>
      <w:r>
        <w:rPr>
          <w:b/>
          <w:bCs/>
          <w:color w:val="1B2A4A"/>
          <w:sz w:val="26"/>
          <w:szCs w:val="26"/>
        </w:rPr>
        <w:t xml:space="preserve">Business rules</w:t>
      </w:r>
    </w:p>
    <w:tbl>
      <w:tblPr>
        <w:tblW w:w="9026" w:type="dxa"/>
        <w:tblLayout w:type="fixed"/>
        <w:tblCellMar>
          <w:left w:w="110" w:type="dxa"/>
          <w:right w:w="110" w:type="dxa"/>
        </w:tblCellMar>
        <w:tblLook w:val="04A0" w:firstRow="1" w:lastRow="0" w:firstColumn="1" w:lastColumn="0" w:noHBand="0" w:noVBand="1"/>
      </w:tblPr>
      <w:tblGrid>
        <w:gridCol w:w="1100"/>
        <w:gridCol w:w="7926"/>
      </w:tblGrid>
      <w:tr>
        <w:trPr>
          <w:cantSplit/>
          <w:tblHeader/>
        </w:trPr>
        <w:tc>
          <w:tcPr>
            <w:tcW w:w="11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ID</w:t>
            </w:r>
          </w:p>
        </w:tc>
        <w:tc>
          <w:tcPr>
            <w:tcW w:w="7926"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Rule</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BR-01</w:t>
            </w:r>
          </w:p>
        </w:tc>
        <w:tc>
          <w:tcPr>
            <w:tcW w:w="79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Only properties with tenure OWN are recorded; the tenure flag must reconcile with the PROPERTY MASTER.</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BR-02</w:t>
            </w:r>
          </w:p>
        </w:tc>
        <w:tc>
          <w:tcPr>
            <w:tcW w:w="79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Property ID is unique and immutable; changes to the unit are made in the PROPERTY MASTER and re-synced.</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BR-03</w:t>
            </w:r>
          </w:p>
        </w:tc>
        <w:tc>
          <w:tcPr>
            <w:tcW w:w="79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Minimum equity: own capital should be at least 20% of the property value, of which at least 10% must be non-pension (“hard”) equity.</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BR-04</w:t>
            </w:r>
          </w:p>
        </w:tc>
        <w:tc>
          <w:tcPr>
            <w:tcW w:w="79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Maximum mortgage: loan-to-value should not exceed ≈80% of the lower of price or bank valuation.</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BR-05</w:t>
            </w:r>
          </w:p>
        </w:tc>
        <w:tc>
          <w:tcPr>
            <w:tcW w:w="79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Amortization: any portion above 65% LTV (the 2nd mortgage) must be repaid within 15 years or by retirement age.</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BR-06</w:t>
            </w:r>
          </w:p>
        </w:tc>
        <w:tc>
          <w:tcPr>
            <w:tcW w:w="79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Affordability: imputed costs (≈5% interest + 1% maintenance + amortization) should remain within ≈33% of qualifying income.</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BR-07</w:t>
            </w:r>
          </w:p>
        </w:tc>
        <w:tc>
          <w:tcPr>
            <w:tcW w:w="79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If Financing Type = SARON, the interest rate is the compounded SARON plus the recorded margin; if Fixed, the rate is locked until the maturity/renewal date.</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BR-08</w:t>
            </w:r>
          </w:p>
        </w:tc>
        <w:tc>
          <w:tcPr>
            <w:tcW w:w="79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Maturity/renewal dates must be monitored; a review should be triggered ahead of each fixed-rate maturity and at SARON resets.</w:t>
            </w:r>
          </w:p>
        </w:tc>
      </w:tr>
      <w:tr>
        <w:trPr>
          <w:cantSplit/>
        </w:trPr>
        <w:tc>
          <w:tcPr>
            <w:tcW w:w="11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BR-09</w:t>
            </w:r>
          </w:p>
        </w:tc>
        <w:tc>
          <w:tcPr>
            <w:tcW w:w="79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All monetary values are in CHF; percentages are stored as rates (e.g. 1.50% = 0.015).</w:t>
            </w:r>
          </w:p>
        </w:tc>
      </w:tr>
      <w:tr>
        <w:trPr>
          <w:cantSplit/>
        </w:trPr>
        <w:tc>
          <w:tcPr>
            <w:tcW w:w="11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BR-10</w:t>
            </w:r>
          </w:p>
        </w:tc>
        <w:tc>
          <w:tcPr>
            <w:tcW w:w="79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On refinancing, renewal, rate change, top-up (Aufstockung) or bank switch, the full new terms are recorded in the refinancing block; the register then uses the effective (refinanced) figures for LTV and interest. A top-up increases the mortgage and requires re-testing LTV (≈80%) and affordability before additional funds are drawn.</w:t>
            </w:r>
          </w:p>
        </w:tc>
      </w:tr>
    </w:tbl>
    <w:p>
      <w:pPr>
        <w:spacing w:before="80" w:after="0"/>
      </w:pPr>
      <w:r>
        <w:rPr>
          <w:i/>
          <w:iCs/>
          <w:color w:val="5A5A5A"/>
          <w:sz w:val="18"/>
          <w:szCs w:val="18"/>
        </w:rPr>
        <w:t xml:space="preserve">Note: the financing thresholds above reflect customary Swiss lending practice (FINMA-aligned). They are decision-support guidance, not legal or financial advice; actual terms are set by the financing bank.</w:t>
      </w:r>
    </w:p>
    <w:p>
      <w:pPr>
        <w:keepNext/>
        <w:pBdr>
          <w:bottom w:val="single" w:sz="4" w:space="2" w:color="C8960C"/>
        </w:pBdr>
        <w:spacing w:before="220" w:after="120"/>
      </w:pPr>
      <w:r>
        <w:rPr>
          <w:b/>
          <w:bCs/>
          <w:color w:val="C22228"/>
          <w:sz w:val="26"/>
          <w:szCs w:val="26"/>
        </w:rPr>
        <w:t xml:space="preserve">9.   </w:t>
      </w:r>
      <w:r>
        <w:rPr>
          <w:b/>
          <w:bCs/>
          <w:color w:val="1B2A4A"/>
          <w:sz w:val="26"/>
          <w:szCs w:val="26"/>
        </w:rPr>
        <w:t xml:space="preserve">Validation rules</w:t>
      </w:r>
    </w:p>
    <w:p>
      <w:pPr>
        <w:numPr>
          <w:ilvl w:val="0"/>
          <w:numId w:val="1"/>
        </w:numPr>
        <w:spacing w:before="0" w:after="40"/>
      </w:pPr>
      <w:r>
        <w:rPr>
          <w:sz w:val="20"/>
          <w:szCs w:val="20"/>
        </w:rPr>
        <w:t xml:space="preserve">Property ID, purchase price and financing bank are mandatory once a purchase is recorded.</w:t>
      </w:r>
    </w:p>
    <w:p>
      <w:pPr>
        <w:numPr>
          <w:ilvl w:val="0"/>
          <w:numId w:val="1"/>
        </w:numPr>
        <w:spacing w:before="0" w:after="40"/>
      </w:pPr>
      <w:r>
        <w:rPr>
          <w:sz w:val="20"/>
          <w:szCs w:val="20"/>
        </w:rPr>
        <w:t xml:space="preserve">Financing Type ∈ {SARON, Fixed}; Amortization Type ∈ {Direct, Indirect} (controlled lists).</w:t>
      </w:r>
    </w:p>
    <w:p>
      <w:pPr>
        <w:numPr>
          <w:ilvl w:val="0"/>
          <w:numId w:val="1"/>
        </w:numPr>
        <w:spacing w:before="0" w:after="40"/>
      </w:pPr>
      <w:r>
        <w:rPr>
          <w:sz w:val="20"/>
          <w:szCs w:val="20"/>
        </w:rPr>
        <w:t xml:space="preserve">Dates must be valid; Maturity/Renewal Date ≥ Mortgage Start Date.</w:t>
      </w:r>
    </w:p>
    <w:p>
      <w:pPr>
        <w:numPr>
          <w:ilvl w:val="0"/>
          <w:numId w:val="1"/>
        </w:numPr>
        <w:spacing w:before="0" w:after="40"/>
      </w:pPr>
      <w:r>
        <w:rPr>
          <w:sz w:val="20"/>
          <w:szCs w:val="20"/>
        </w:rPr>
        <w:t xml:space="preserve">Current Mortgage Outstanding ≤ Initial Mortgage Amount; Own Capital ≤ Purchase Price.</w:t>
      </w:r>
    </w:p>
    <w:p>
      <w:pPr>
        <w:numPr>
          <w:ilvl w:val="0"/>
          <w:numId w:val="1"/>
        </w:numPr>
        <w:spacing w:before="0" w:after="40"/>
      </w:pPr>
      <w:r>
        <w:rPr>
          <w:sz w:val="20"/>
          <w:szCs w:val="20"/>
        </w:rPr>
        <w:t xml:space="preserve">Interest rate and margins entered as percentages; negative values rejected.</w:t>
      </w:r>
    </w:p>
    <w:p>
      <w:pPr>
        <w:numPr>
          <w:ilvl w:val="0"/>
          <w:numId w:val="1"/>
        </w:numPr>
        <w:spacing w:before="0" w:after="40"/>
      </w:pPr>
      <w:r>
        <w:rPr>
          <w:sz w:val="20"/>
          <w:szCs w:val="20"/>
        </w:rPr>
        <w:t xml:space="preserve">Computed cells must never display an error while inputs are incomplete (return blank).</w:t>
      </w:r>
    </w:p>
    <w:p>
      <w:pPr>
        <w:keepNext/>
        <w:pBdr>
          <w:bottom w:val="single" w:sz="4" w:space="2" w:color="C8960C"/>
        </w:pBdr>
        <w:spacing w:before="220" w:after="120"/>
      </w:pPr>
      <w:r>
        <w:rPr>
          <w:b/>
          <w:bCs/>
          <w:color w:val="C22228"/>
          <w:sz w:val="26"/>
          <w:szCs w:val="26"/>
        </w:rPr>
        <w:t xml:space="preserve">10.   </w:t>
      </w:r>
      <w:r>
        <w:rPr>
          <w:b/>
          <w:bCs/>
          <w:color w:val="1B2A4A"/>
          <w:sz w:val="26"/>
          <w:szCs w:val="26"/>
        </w:rPr>
        <w:t xml:space="preserve">Non-functional requirements</w:t>
      </w:r>
    </w:p>
    <w:tbl>
      <w:tblPr>
        <w:tblW w:w="9026" w:type="dxa"/>
        <w:tblLayout w:type="fixed"/>
        <w:tblCellMar>
          <w:left w:w="110" w:type="dxa"/>
          <w:right w:w="110" w:type="dxa"/>
        </w:tblCellMar>
        <w:tblLook w:val="04A0" w:firstRow="1" w:lastRow="0" w:firstColumn="1" w:lastColumn="0" w:noHBand="0" w:noVBand="1"/>
      </w:tblPr>
      <w:tblGrid>
        <w:gridCol w:w="2300"/>
        <w:gridCol w:w="6726"/>
      </w:tblGrid>
      <w:tr>
        <w:trPr>
          <w:cantSplit/>
          <w:tblHeader/>
        </w:trPr>
        <w:tc>
          <w:tcPr>
            <w:tcW w:w="23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Area</w:t>
            </w:r>
          </w:p>
        </w:tc>
        <w:tc>
          <w:tcPr>
            <w:tcW w:w="6726"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Requirement</w:t>
            </w:r>
          </w:p>
        </w:tc>
      </w:tr>
      <w:tr>
        <w:trPr>
          <w:cantSplit/>
        </w:trPr>
        <w:tc>
          <w:tcPr>
            <w:tcW w:w="2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Security / access</w:t>
            </w:r>
          </w:p>
        </w:tc>
        <w:tc>
          <w:tcPr>
            <w:tcW w:w="67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Restricted to authorised SINHA’S staff; financing data is confidential.</w:t>
            </w:r>
          </w:p>
        </w:tc>
      </w:tr>
      <w:tr>
        <w:trPr>
          <w:cantSplit/>
        </w:trPr>
        <w:tc>
          <w:tcPr>
            <w:tcW w:w="2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Data protection</w:t>
            </w:r>
          </w:p>
        </w:tc>
        <w:tc>
          <w:tcPr>
            <w:tcW w:w="67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Personal data handled per the Swiss DSG (and GDPR where applicable).</w:t>
            </w:r>
          </w:p>
        </w:tc>
      </w:tr>
      <w:tr>
        <w:trPr>
          <w:cantSplit/>
        </w:trPr>
        <w:tc>
          <w:tcPr>
            <w:tcW w:w="2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Auditability</w:t>
            </w:r>
          </w:p>
        </w:tc>
        <w:tc>
          <w:tcPr>
            <w:tcW w:w="67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Changes traceable; versioned file naming with date and author.</w:t>
            </w:r>
          </w:p>
        </w:tc>
      </w:tr>
      <w:tr>
        <w:trPr>
          <w:cantSplit/>
        </w:trPr>
        <w:tc>
          <w:tcPr>
            <w:tcW w:w="2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Accuracy</w:t>
            </w:r>
          </w:p>
        </w:tc>
        <w:tc>
          <w:tcPr>
            <w:tcW w:w="67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Calculations consistent across all rows; zero formula errors.</w:t>
            </w:r>
          </w:p>
        </w:tc>
      </w:tr>
      <w:tr>
        <w:trPr>
          <w:cantSplit/>
        </w:trPr>
        <w:tc>
          <w:tcPr>
            <w:tcW w:w="2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Retention / backup</w:t>
            </w:r>
          </w:p>
        </w:tc>
        <w:tc>
          <w:tcPr>
            <w:tcW w:w="67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Retained per statutory record-keeping (10 years, Art. 958f OR); regular backup.</w:t>
            </w:r>
          </w:p>
        </w:tc>
      </w:tr>
      <w:tr>
        <w:trPr>
          <w:cantSplit/>
        </w:trPr>
        <w:tc>
          <w:tcPr>
            <w:tcW w:w="23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b/>
                <w:bCs/>
                <w:color w:val="1B2A4A"/>
                <w:sz w:val="18"/>
                <w:szCs w:val="18"/>
              </w:rPr>
              <w:t xml:space="preserve">Portability</w:t>
            </w:r>
          </w:p>
        </w:tc>
        <w:tc>
          <w:tcPr>
            <w:tcW w:w="67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Structure must map cleanly to the property-management database (future migration).</w:t>
            </w:r>
          </w:p>
        </w:tc>
      </w:tr>
      <w:tr>
        <w:trPr>
          <w:cantSplit/>
        </w:trPr>
        <w:tc>
          <w:tcPr>
            <w:tcW w:w="23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b/>
                <w:bCs/>
                <w:color w:val="1B2A4A"/>
                <w:sz w:val="18"/>
                <w:szCs w:val="18"/>
              </w:rPr>
              <w:t xml:space="preserve">Usability</w:t>
            </w:r>
          </w:p>
        </w:tc>
        <w:tc>
          <w:tcPr>
            <w:tcW w:w="67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Frozen headers, grouped colour bands, dropdowns; input vs calculated cells visually distinct.</w:t>
            </w:r>
          </w:p>
        </w:tc>
      </w:tr>
    </w:tbl>
    <w:p>
      <w:pPr>
        <w:keepNext/>
        <w:pBdr>
          <w:bottom w:val="single" w:sz="4" w:space="2" w:color="C8960C"/>
        </w:pBdr>
        <w:spacing w:before="220" w:after="120"/>
      </w:pPr>
      <w:r>
        <w:rPr>
          <w:b/>
          <w:bCs/>
          <w:color w:val="C22228"/>
          <w:sz w:val="26"/>
          <w:szCs w:val="26"/>
        </w:rPr>
        <w:t xml:space="preserve">11.   </w:t>
      </w:r>
      <w:r>
        <w:rPr>
          <w:b/>
          <w:bCs/>
          <w:color w:val="1B2A4A"/>
          <w:sz w:val="26"/>
          <w:szCs w:val="26"/>
        </w:rPr>
        <w:t xml:space="preserve">Reporting and KPIs</w:t>
      </w:r>
    </w:p>
    <w:p>
      <w:pPr>
        <w:numPr>
          <w:ilvl w:val="0"/>
          <w:numId w:val="1"/>
        </w:numPr>
        <w:spacing w:before="0" w:after="40"/>
      </w:pPr>
      <w:r>
        <w:rPr>
          <w:sz w:val="20"/>
          <w:szCs w:val="20"/>
        </w:rPr>
        <w:t xml:space="preserve">Portfolio summary: total acquisition cost, total equity, total mortgage, portfolio LTV and equity ratio.</w:t>
      </w:r>
    </w:p>
    <w:p>
      <w:pPr>
        <w:numPr>
          <w:ilvl w:val="0"/>
          <w:numId w:val="1"/>
        </w:numPr>
        <w:spacing w:before="0" w:after="40"/>
      </w:pPr>
      <w:r>
        <w:rPr>
          <w:sz w:val="20"/>
          <w:szCs w:val="20"/>
        </w:rPr>
        <w:t xml:space="preserve">Financing cost: total annual and monthly interest across the portfolio.</w:t>
      </w:r>
    </w:p>
    <w:p>
      <w:pPr>
        <w:numPr>
          <w:ilvl w:val="0"/>
          <w:numId w:val="1"/>
        </w:numPr>
        <w:spacing w:before="0" w:after="40"/>
      </w:pPr>
      <w:r>
        <w:rPr>
          <w:sz w:val="20"/>
          <w:szCs w:val="20"/>
        </w:rPr>
        <w:t xml:space="preserve">Renewal calendar: upcoming fixed-rate maturities and SARON review dates.</w:t>
      </w:r>
    </w:p>
    <w:p>
      <w:pPr>
        <w:numPr>
          <w:ilvl w:val="0"/>
          <w:numId w:val="1"/>
        </w:numPr>
        <w:spacing w:before="0" w:after="40"/>
      </w:pPr>
      <w:r>
        <w:rPr>
          <w:sz w:val="20"/>
          <w:szCs w:val="20"/>
        </w:rPr>
        <w:t xml:space="preserve">Breakdowns by city, canton, bank and financing type (SARON vs fixed).</w:t>
      </w:r>
    </w:p>
    <w:p>
      <w:pPr>
        <w:keepNext/>
        <w:pBdr>
          <w:bottom w:val="single" w:sz="4" w:space="2" w:color="C8960C"/>
        </w:pBdr>
        <w:spacing w:before="220" w:after="120"/>
      </w:pPr>
      <w:r>
        <w:rPr>
          <w:b/>
          <w:bCs/>
          <w:color w:val="C22228"/>
          <w:sz w:val="26"/>
          <w:szCs w:val="26"/>
        </w:rPr>
        <w:t xml:space="preserve">12.   </w:t>
      </w:r>
      <w:r>
        <w:rPr>
          <w:b/>
          <w:bCs/>
          <w:color w:val="1B2A4A"/>
          <w:sz w:val="26"/>
          <w:szCs w:val="26"/>
        </w:rPr>
        <w:t xml:space="preserve">Assumptions and constraints</w:t>
      </w:r>
    </w:p>
    <w:p>
      <w:pPr>
        <w:numPr>
          <w:ilvl w:val="0"/>
          <w:numId w:val="1"/>
        </w:numPr>
        <w:spacing w:before="0" w:after="40"/>
      </w:pPr>
      <w:r>
        <w:rPr>
          <w:sz w:val="20"/>
          <w:szCs w:val="20"/>
        </w:rPr>
        <w:t xml:space="preserve">The 22 owned units in the PROPERTY MASTER (V4) are the seed records; new acquisitions are added as they occur.</w:t>
      </w:r>
    </w:p>
    <w:p>
      <w:pPr>
        <w:numPr>
          <w:ilvl w:val="0"/>
          <w:numId w:val="1"/>
        </w:numPr>
        <w:spacing w:before="0" w:after="40"/>
      </w:pPr>
      <w:r>
        <w:rPr>
          <w:sz w:val="20"/>
          <w:szCs w:val="20"/>
        </w:rPr>
        <w:t xml:space="preserve">Property valuations are approximated by purchase price unless a separate bank valuation is recorded.</w:t>
      </w:r>
    </w:p>
    <w:p>
      <w:pPr>
        <w:numPr>
          <w:ilvl w:val="0"/>
          <w:numId w:val="1"/>
        </w:numPr>
        <w:spacing w:before="0" w:after="40"/>
      </w:pPr>
      <w:r>
        <w:rPr>
          <w:sz w:val="20"/>
          <w:szCs w:val="20"/>
        </w:rPr>
        <w:t xml:space="preserve">Financing data is entered by SINHA’S; the register does not connect live to bank systems.</w:t>
      </w:r>
    </w:p>
    <w:p>
      <w:pPr>
        <w:numPr>
          <w:ilvl w:val="0"/>
          <w:numId w:val="1"/>
        </w:numPr>
        <w:spacing w:before="0" w:after="40"/>
      </w:pPr>
      <w:r>
        <w:rPr>
          <w:sz w:val="20"/>
          <w:szCs w:val="20"/>
        </w:rPr>
        <w:t xml:space="preserve">Today the register is maintained in Excel; requirements are platform-independent for later migration.</w:t>
      </w:r>
    </w:p>
    <w:p>
      <w:r>
        <w:br w:type="page"/>
      </w:r>
    </w:p>
    <w:p>
      <w:pPr>
        <w:keepNext/>
        <w:pBdr>
          <w:bottom w:val="single" w:sz="4" w:space="2" w:color="C8960C"/>
        </w:pBdr>
        <w:spacing w:before="220" w:after="120"/>
      </w:pPr>
      <w:r>
        <w:rPr>
          <w:b/>
          <w:bCs/>
          <w:color w:val="C22228"/>
          <w:sz w:val="26"/>
          <w:szCs w:val="26"/>
        </w:rPr>
        <w:t xml:space="preserve">13.   </w:t>
      </w:r>
      <w:r>
        <w:rPr>
          <w:b/>
          <w:bCs/>
          <w:color w:val="1B2A4A"/>
          <w:sz w:val="26"/>
          <w:szCs w:val="26"/>
        </w:rPr>
        <w:t xml:space="preserve">Property ID convention (Smart Property Code)</w:t>
      </w:r>
    </w:p>
    <w:p>
      <w:pPr>
        <w:spacing w:before="0" w:after="100"/>
      </w:pPr>
      <w:r>
        <w:rPr>
          <w:sz w:val="20"/>
          <w:szCs w:val="20"/>
        </w:rPr>
        <w:t xml:space="preserve">Each property is identified by the existing Smart Property Code, ensuring the register reconciles 1:1 with the PROPERTY MASTER:</w:t>
      </w:r>
    </w:p>
    <w:p>
      <w:pPr>
        <w:spacing w:before="0" w:after="60"/>
        <w:jc w:val="center"/>
      </w:pPr>
      <w:r>
        <w:rPr>
          <w:rFonts w:ascii="Consolas" w:hAnsi="Consolas" w:cs="Consolas"/>
          <w:b/>
          <w:bCs/>
          <w:color w:val="1B2A4A"/>
          <w:sz w:val="22"/>
          <w:szCs w:val="22"/>
        </w:rPr>
        <w:t xml:space="preserve">[ST][NO]-[FL][POS]-[ROOMS]-[TYPE]-[OWN/SUB]-[PIN]-[CITY]-[CANTON]-CH</w:t>
      </w:r>
    </w:p>
    <w:p>
      <w:pPr>
        <w:spacing w:before="0" w:after="120"/>
      </w:pPr>
      <w:r>
        <w:rPr>
          <w:sz w:val="20"/>
          <w:szCs w:val="20"/>
        </w:rPr>
        <w:t xml:space="preserve">Example:  </w:t>
      </w:r>
      <w:r>
        <w:rPr>
          <w:rFonts w:ascii="Consolas" w:hAnsi="Consolas" w:cs="Consolas"/>
          <w:b/>
          <w:bCs/>
          <w:sz w:val="20"/>
          <w:szCs w:val="20"/>
        </w:rPr>
        <w:t xml:space="preserve">SE64-2L-2.5-APA-OWN-8052-ZH-ZH-CH</w:t>
      </w:r>
      <w:r>
        <w:rPr>
          <w:sz w:val="20"/>
          <w:szCs w:val="20"/>
        </w:rPr>
        <w:t xml:space="preserve">  →  Seebacherstrasse 64, 2nd floor Left, 2.5 rooms, Apartment, OWNED, 8052 Zürich (ZH).</w:t>
      </w:r>
    </w:p>
    <w:tbl>
      <w:tblPr>
        <w:tblW w:w="9026" w:type="dxa"/>
        <w:tblLayout w:type="fixed"/>
        <w:tblCellMar>
          <w:left w:w="110" w:type="dxa"/>
          <w:right w:w="110" w:type="dxa"/>
        </w:tblCellMar>
        <w:tblLook w:val="04A0" w:firstRow="1" w:lastRow="0" w:firstColumn="1" w:lastColumn="0" w:noHBand="0" w:noVBand="1"/>
      </w:tblPr>
      <w:tblGrid>
        <w:gridCol w:w="1700"/>
        <w:gridCol w:w="3500"/>
        <w:gridCol w:w="3826"/>
      </w:tblGrid>
      <w:tr>
        <w:trPr>
          <w:cantSplit/>
          <w:tblHeader/>
        </w:trPr>
        <w:tc>
          <w:tcPr>
            <w:tcW w:w="17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Segment</w:t>
            </w:r>
          </w:p>
        </w:tc>
        <w:tc>
          <w:tcPr>
            <w:tcW w:w="3500"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Meaning</w:t>
            </w:r>
          </w:p>
        </w:tc>
        <w:tc>
          <w:tcPr>
            <w:tcW w:w="3826" w:type="dxa"/>
            <w:tcBorders>
              <w:top w:val="single" w:sz="2" w:space="0" w:color="CCCCCC"/>
              <w:left w:val="single" w:sz="2" w:space="0" w:color="CCCCCC"/>
              <w:bottom w:val="single" w:sz="2" w:space="0" w:color="CCCCCC"/>
              <w:right w:val="single" w:sz="2" w:space="0" w:color="CCCCCC"/>
            </w:tcBorders>
            <w:shd w:val="clear" w:color="auto" w:fill="1B2A4A"/>
            <w:tcMar>
              <w:top w:w="50" w:type="dxa"/>
              <w:left w:w="110" w:type="dxa"/>
              <w:bottom w:w="50" w:type="dxa"/>
              <w:right w:w="110" w:type="dxa"/>
            </w:tcMar>
            <w:vAlign w:val="center"/>
          </w:tcPr>
          <w:p>
            <w:pPr>
              <w:spacing w:before="0" w:after="0"/>
            </w:pPr>
            <w:r>
              <w:rPr>
                <w:b/>
                <w:bCs/>
                <w:color w:val="FFFFFF"/>
                <w:sz w:val="18"/>
                <w:szCs w:val="18"/>
              </w:rPr>
              <w:t xml:space="preserve">Example values</w:t>
            </w:r>
          </w:p>
        </w:tc>
      </w:tr>
      <w:tr>
        <w:trPr>
          <w:cantSplit/>
        </w:trPr>
        <w:tc>
          <w:tcPr>
            <w:tcW w:w="17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ST</w:t>
            </w:r>
          </w:p>
        </w:tc>
        <w:tc>
          <w:tcPr>
            <w:tcW w:w="35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First 2 letters of street name</w:t>
            </w:r>
          </w:p>
        </w:tc>
        <w:tc>
          <w:tcPr>
            <w:tcW w:w="38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AF, AL, AU, SE, ST</w:t>
            </w:r>
          </w:p>
        </w:tc>
      </w:tr>
      <w:tr>
        <w:trPr>
          <w:cantSplit/>
        </w:trPr>
        <w:tc>
          <w:tcPr>
            <w:tcW w:w="17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NO</w:t>
            </w:r>
          </w:p>
        </w:tc>
        <w:tc>
          <w:tcPr>
            <w:tcW w:w="35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Street / house number</w:t>
            </w:r>
          </w:p>
        </w:tc>
        <w:tc>
          <w:tcPr>
            <w:tcW w:w="38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10, 26A, 40a, 156</w:t>
            </w:r>
          </w:p>
        </w:tc>
      </w:tr>
      <w:tr>
        <w:trPr>
          <w:cantSplit/>
        </w:trPr>
        <w:tc>
          <w:tcPr>
            <w:tcW w:w="17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FL POS</w:t>
            </w:r>
          </w:p>
        </w:tc>
        <w:tc>
          <w:tcPr>
            <w:tcW w:w="35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Floor (G=Ground, B=Basement) + wing</w:t>
            </w:r>
          </w:p>
        </w:tc>
        <w:tc>
          <w:tcPr>
            <w:tcW w:w="38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2L, GR, 1MR, BL</w:t>
            </w:r>
          </w:p>
        </w:tc>
      </w:tr>
      <w:tr>
        <w:trPr>
          <w:cantSplit/>
        </w:trPr>
        <w:tc>
          <w:tcPr>
            <w:tcW w:w="17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ROOMS</w:t>
            </w:r>
          </w:p>
        </w:tc>
        <w:tc>
          <w:tcPr>
            <w:tcW w:w="35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Number of rooms (decimal)</w:t>
            </w:r>
          </w:p>
        </w:tc>
        <w:tc>
          <w:tcPr>
            <w:tcW w:w="38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1.5, 2.5, 3.5, 4.5</w:t>
            </w:r>
          </w:p>
        </w:tc>
      </w:tr>
      <w:tr>
        <w:trPr>
          <w:cantSplit/>
        </w:trPr>
        <w:tc>
          <w:tcPr>
            <w:tcW w:w="17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TYPE</w:t>
            </w:r>
          </w:p>
        </w:tc>
        <w:tc>
          <w:tcPr>
            <w:tcW w:w="35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First 3 letters of property type</w:t>
            </w:r>
          </w:p>
        </w:tc>
        <w:tc>
          <w:tcPr>
            <w:tcW w:w="38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APA, HOU, CHA, OFF</w:t>
            </w:r>
          </w:p>
        </w:tc>
      </w:tr>
      <w:tr>
        <w:trPr>
          <w:cantSplit/>
        </w:trPr>
        <w:tc>
          <w:tcPr>
            <w:tcW w:w="17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OWN/SUB</w:t>
            </w:r>
          </w:p>
        </w:tc>
        <w:tc>
          <w:tcPr>
            <w:tcW w:w="3500"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Tenure</w:t>
            </w:r>
          </w:p>
        </w:tc>
        <w:tc>
          <w:tcPr>
            <w:tcW w:w="3826" w:type="dxa"/>
            <w:tcBorders>
              <w:top w:val="single" w:sz="2" w:space="0" w:color="CCCCCC"/>
              <w:left w:val="single" w:sz="2" w:space="0" w:color="CCCCCC"/>
              <w:bottom w:val="single" w:sz="2" w:space="0" w:color="CCCCCC"/>
              <w:right w:val="single" w:sz="2" w:space="0" w:color="CCCCCC"/>
            </w:tcBorders>
            <w:shd w:val="clear" w:color="auto" w:fill="F4F7FB"/>
            <w:tcMar>
              <w:top w:w="50" w:type="dxa"/>
              <w:left w:w="110" w:type="dxa"/>
              <w:bottom w:w="50" w:type="dxa"/>
              <w:right w:w="110" w:type="dxa"/>
            </w:tcMar>
            <w:vAlign w:val="center"/>
          </w:tcPr>
          <w:p>
            <w:pPr>
              <w:spacing w:before="0" w:after="0"/>
            </w:pPr>
            <w:r>
              <w:rPr>
                <w:sz w:val="18"/>
                <w:szCs w:val="18"/>
              </w:rPr>
              <w:t xml:space="preserve">OWN (this register) / SUB</w:t>
            </w:r>
          </w:p>
        </w:tc>
      </w:tr>
      <w:tr>
        <w:trPr>
          <w:cantSplit/>
        </w:trPr>
        <w:tc>
          <w:tcPr>
            <w:tcW w:w="17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PIN · CITY · CANTON</w:t>
            </w:r>
          </w:p>
        </w:tc>
        <w:tc>
          <w:tcPr>
            <w:tcW w:w="3500"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Postcode · city code · canton</w:t>
            </w:r>
          </w:p>
        </w:tc>
        <w:tc>
          <w:tcPr>
            <w:tcW w:w="3826"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0"/>
            </w:pPr>
            <w:r>
              <w:rPr>
                <w:sz w:val="18"/>
                <w:szCs w:val="18"/>
              </w:rPr>
              <w:t xml:space="preserve">8052 · ZH · ZH</w:t>
            </w:r>
          </w:p>
        </w:tc>
      </w:tr>
    </w:tbl>
    <w:p>
      <w:pPr>
        <w:keepNext/>
        <w:pBdr>
          <w:bottom w:val="single" w:sz="4" w:space="2" w:color="C8960C"/>
        </w:pBdr>
        <w:spacing w:before="220" w:after="120"/>
      </w:pPr>
      <w:r>
        <w:rPr>
          <w:b/>
          <w:bCs/>
          <w:color w:val="C22228"/>
          <w:sz w:val="26"/>
          <w:szCs w:val="26"/>
        </w:rPr>
        <w:t xml:space="preserve">14.   </w:t>
      </w:r>
      <w:r>
        <w:rPr>
          <w:b/>
          <w:bCs/>
          <w:color w:val="1B2A4A"/>
          <w:sz w:val="26"/>
          <w:szCs w:val="26"/>
        </w:rPr>
        <w:t xml:space="preserve">Acceptance criteria and sign-off</w:t>
      </w:r>
    </w:p>
    <w:p>
      <w:pPr>
        <w:numPr>
          <w:ilvl w:val="0"/>
          <w:numId w:val="1"/>
        </w:numPr>
        <w:spacing w:before="0" w:after="40"/>
      </w:pPr>
      <w:r>
        <w:rPr>
          <w:sz w:val="20"/>
          <w:szCs w:val="20"/>
        </w:rPr>
        <w:t xml:space="preserve">All 22 owned properties are present and reconcile with the PROPERTY MASTER by Property ID.</w:t>
      </w:r>
    </w:p>
    <w:p>
      <w:pPr>
        <w:numPr>
          <w:ilvl w:val="0"/>
          <w:numId w:val="1"/>
        </w:numPr>
        <w:spacing w:before="0" w:after="40"/>
      </w:pPr>
      <w:r>
        <w:rPr>
          <w:sz w:val="20"/>
          <w:szCs w:val="20"/>
        </w:rPr>
        <w:t xml:space="preserve">All mandatory purchase and financing fields can be captured; controlled lists enforced.</w:t>
      </w:r>
    </w:p>
    <w:p>
      <w:pPr>
        <w:numPr>
          <w:ilvl w:val="0"/>
          <w:numId w:val="1"/>
        </w:numPr>
        <w:spacing w:before="0" w:after="40"/>
      </w:pPr>
      <w:r>
        <w:rPr>
          <w:sz w:val="20"/>
          <w:szCs w:val="20"/>
        </w:rPr>
        <w:t xml:space="preserve">Calculated KPIs and portfolio totals are correct and error-free.</w:t>
      </w:r>
    </w:p>
    <w:p>
      <w:pPr>
        <w:numPr>
          <w:ilvl w:val="0"/>
          <w:numId w:val="1"/>
        </w:numPr>
        <w:spacing w:before="0" w:after="40"/>
      </w:pPr>
      <w:r>
        <w:rPr>
          <w:sz w:val="20"/>
          <w:szCs w:val="20"/>
        </w:rPr>
        <w:t xml:space="preserve">Reports in Section 11 can be produced from the register.</w:t>
      </w:r>
    </w:p>
    <w:p>
      <w:pPr>
        <w:spacing w:before="0" w:after="160"/>
      </w:pPr>
    </w:p>
    <w:tbl>
      <w:tblPr>
        <w:tblW w:w="9026" w:type="dxa"/>
        <w:tblLayout w:type="fixed"/>
        <w:tblCellMar>
          <w:left w:w="110" w:type="dxa"/>
          <w:right w:w="110" w:type="dxa"/>
        </w:tblCellMar>
        <w:tblLook w:val="04A0" w:firstRow="1" w:lastRow="0" w:firstColumn="1" w:lastColumn="0" w:noHBand="0" w:noVBand="1"/>
      </w:tblPr>
      <w:tblGrid>
        <w:gridCol w:w="4513"/>
        <w:gridCol w:w="4513"/>
      </w:tblGrid>
      <w:tr>
        <w:trPr>
          <w:cantSplit/>
        </w:trPr>
        <w:tc>
          <w:tcPr>
            <w:tcW w:w="4513"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160"/>
            </w:pPr>
            <w:r>
              <w:rPr>
                <w:b/>
                <w:bCs/>
                <w:color w:val="1B2A4A"/>
                <w:sz w:val="18"/>
                <w:szCs w:val="18"/>
              </w:rPr>
              <w:t xml:space="preserve">Prepared / approved by</w:t>
            </w:r>
          </w:p>
          <w:p>
            <w:pPr>
              <w:spacing w:before="0" w:after="20"/>
            </w:pPr>
            <w:r>
              <w:rPr>
                <w:sz w:val="20"/>
                <w:szCs w:val="20"/>
              </w:rPr>
              <w:t xml:space="preserve">________________________________</w:t>
            </w:r>
          </w:p>
          <w:p>
            <w:pPr>
              <w:spacing w:before="0" w:after="10"/>
            </w:pPr>
            <w:r>
              <w:rPr>
                <w:b/>
                <w:bCs/>
                <w:sz w:val="18"/>
                <w:szCs w:val="18"/>
              </w:rPr>
              <w:t xml:space="preserve">Rajeev Sinha – Geschäftsführer</w:t>
            </w:r>
          </w:p>
          <w:p>
            <w:pPr>
              <w:spacing w:before="0" w:after="0"/>
            </w:pPr>
            <w:r>
              <w:rPr>
                <w:color w:val="5A5A5A"/>
                <w:sz w:val="18"/>
                <w:szCs w:val="18"/>
              </w:rPr>
              <w:t xml:space="preserve">Date: 29.05.2026</w:t>
            </w:r>
          </w:p>
        </w:tc>
        <w:tc>
          <w:tcPr>
            <w:tcW w:w="4513" w:type="dxa"/>
            <w:tcBorders>
              <w:top w:val="single" w:sz="2" w:space="0" w:color="CCCCCC"/>
              <w:left w:val="single" w:sz="2" w:space="0" w:color="CCCCCC"/>
              <w:bottom w:val="single" w:sz="2" w:space="0" w:color="CCCCCC"/>
              <w:right w:val="single" w:sz="2" w:space="0" w:color="CCCCCC"/>
            </w:tcBorders>
            <w:tcMar>
              <w:top w:w="50" w:type="dxa"/>
              <w:left w:w="110" w:type="dxa"/>
              <w:bottom w:w="50" w:type="dxa"/>
              <w:right w:w="110" w:type="dxa"/>
            </w:tcMar>
            <w:vAlign w:val="center"/>
          </w:tcPr>
          <w:p>
            <w:pPr>
              <w:spacing w:before="0" w:after="160"/>
            </w:pPr>
            <w:r>
              <w:rPr>
                <w:b/>
                <w:bCs/>
                <w:color w:val="1B2A4A"/>
                <w:sz w:val="18"/>
                <w:szCs w:val="18"/>
              </w:rPr>
              <w:t xml:space="preserve">Reviewed by</w:t>
            </w:r>
          </w:p>
          <w:p>
            <w:pPr>
              <w:spacing w:before="0" w:after="20"/>
            </w:pPr>
            <w:r>
              <w:rPr>
                <w:sz w:val="20"/>
                <w:szCs w:val="20"/>
              </w:rPr>
              <w:t xml:space="preserve">________________________________</w:t>
            </w:r>
          </w:p>
          <w:p>
            <w:pPr>
              <w:spacing w:before="0" w:after="10"/>
            </w:pPr>
            <w:r>
              <w:rPr>
                <w:sz w:val="18"/>
                <w:szCs w:val="18"/>
              </w:rPr>
              <w:t xml:space="preserve">Name / Function</w:t>
            </w:r>
          </w:p>
          <w:p>
            <w:pPr>
              <w:spacing w:before="0" w:after="0"/>
            </w:pPr>
            <w:r>
              <w:rPr>
                <w:color w:val="5A5A5A"/>
                <w:sz w:val="18"/>
                <w:szCs w:val="18"/>
              </w:rPr>
              <w:t xml:space="preserve">Date:</w:t>
            </w:r>
          </w:p>
        </w:tc>
      </w:tr>
    </w:tbl>
    <w:sectPr w:rsidR="00B7338E" w:rsidRPr="00A25643">
      <w:headerReference w:type="default" r:id="rId7"/>
      <w:footerReference w:type="default" r:id="rId8"/>
      <w:pgSz w:w="11906" w:h="16838"/>
      <w:pgMar w:top="1680" w:right="1440" w:bottom="2780" w:left="1440" w:header="28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655457" w14:textId="77777777" w:rsidR="00E6191A" w:rsidRDefault="00E6191A">
      <w:r>
        <w:separator/>
      </w:r>
    </w:p>
  </w:endnote>
  <w:endnote w:type="continuationSeparator" w:id="0">
    <w:p w14:paraId="53CAD49D" w14:textId="77777777" w:rsidR="00E6191A" w:rsidRDefault="00E619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B5EDD" w14:textId="77777777" w:rsidR="00507BFC" w:rsidRDefault="00507BFC">
    <w:pPr>
      <w:pBdr>
        <w:bottom w:val="single" w:sz="12" w:space="0" w:color="C0392B"/>
      </w:pBdr>
      <w:spacing w:after="8"/>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7"/>
      <w:gridCol w:w="2257"/>
      <w:gridCol w:w="2256"/>
    </w:tblGrid>
    <w:tr w:rsidR="00507BFC" w14:paraId="28731E54" w14:textId="77777777">
      <w:tc>
        <w:tcPr>
          <w:tcW w:w="2256" w:type="dxa"/>
          <w:tcBorders>
            <w:top w:val="none" w:sz="0" w:space="0" w:color="FFFFFF"/>
            <w:left w:val="none" w:sz="0" w:space="0" w:color="FFFFFF"/>
            <w:bottom w:val="none" w:sz="0" w:space="0" w:color="FFFFFF"/>
            <w:right w:val="single" w:sz="1" w:space="0" w:color="E0E0E0"/>
          </w:tcBorders>
          <w:tcMar>
            <w:top w:w="0" w:type="dxa"/>
            <w:left w:w="20" w:type="dxa"/>
            <w:bottom w:w="10" w:type="dxa"/>
            <w:right w:w="30" w:type="dxa"/>
          </w:tcMar>
        </w:tcPr>
        <w:p w14:paraId="2E0325EB" w14:textId="77777777" w:rsidR="00507BFC" w:rsidRDefault="003705CF">
          <w:pPr>
            <w:spacing w:after="18"/>
            <w:jc w:val="center"/>
          </w:pPr>
          <w:r>
            <w:rPr>
              <w:noProof/>
            </w:rPr>
            <w:drawing>
              <wp:inline distT="0" distB="0" distL="0" distR="0" wp14:anchorId="64B0EFD6" wp14:editId="72EDCFF6">
                <wp:extent cx="390525" cy="390525"/>
                <wp:effectExtent l="0" t="0" r="0" b="0"/>
                <wp:docPr id="1" name="sinha's_realty_ag" descr="SINHA's Realty AG" title="SINHA's Realty 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90525" cy="390525"/>
                        </a:xfrm>
                        <a:prstGeom prst="rect">
                          <a:avLst/>
                        </a:prstGeom>
                      </pic:spPr>
                    </pic:pic>
                  </a:graphicData>
                </a:graphic>
              </wp:inline>
            </w:drawing>
          </w:r>
        </w:p>
        <w:p w14:paraId="49D275EC" w14:textId="77777777" w:rsidR="00507BFC" w:rsidRDefault="003705CF">
          <w:pPr>
            <w:spacing w:after="8"/>
            <w:jc w:val="center"/>
          </w:pPr>
          <w:r>
            <w:rPr>
              <w:b/>
              <w:bCs/>
              <w:color w:val="C0392B"/>
              <w:sz w:val="14"/>
              <w:szCs w:val="14"/>
            </w:rPr>
            <w:t>SINHA'S Realty AG</w:t>
          </w:r>
        </w:p>
        <w:p w14:paraId="2A02B880" w14:textId="77777777" w:rsidR="00507BFC" w:rsidRDefault="003705CF">
          <w:pPr>
            <w:spacing w:after="5"/>
            <w:jc w:val="center"/>
          </w:pPr>
          <w:r>
            <w:rPr>
              <w:rFonts w:ascii="Courier New" w:eastAsia="Courier New" w:hAnsi="Courier New" w:cs="Courier New"/>
              <w:color w:val="888888"/>
              <w:sz w:val="12"/>
              <w:szCs w:val="12"/>
            </w:rPr>
            <w:t>CHE-366.140.018</w:t>
          </w:r>
        </w:p>
        <w:p w14:paraId="456CD134" w14:textId="77777777" w:rsidR="00507BFC" w:rsidRDefault="003705CF">
          <w:pPr>
            <w:spacing w:after="5"/>
            <w:jc w:val="center"/>
          </w:pPr>
          <w:r>
            <w:rPr>
              <w:color w:val="4A5568"/>
              <w:sz w:val="12"/>
              <w:szCs w:val="12"/>
            </w:rPr>
            <w:t>Chamerstrasse 176, 6300 Zug</w:t>
          </w:r>
        </w:p>
        <w:p w14:paraId="7AA29566" w14:textId="77777777" w:rsidR="00507BFC" w:rsidRDefault="003705CF">
          <w:pPr>
            <w:spacing w:after="5"/>
            <w:jc w:val="center"/>
          </w:pPr>
          <w:r>
            <w:rPr>
              <w:color w:val="4A5568"/>
              <w:sz w:val="12"/>
              <w:szCs w:val="12"/>
            </w:rPr>
            <w:t>Switzerland</w:t>
          </w:r>
        </w:p>
        <w:p w14:paraId="4A4A5E45" w14:textId="77777777" w:rsidR="00507BFC" w:rsidRDefault="003705CF">
          <w:pPr>
            <w:jc w:val="center"/>
          </w:pPr>
          <w:r>
            <w:rPr>
              <w:b/>
              <w:bCs/>
              <w:color w:val="0D1F3C"/>
              <w:sz w:val="12"/>
              <w:szCs w:val="12"/>
            </w:rPr>
            <w:t>+41 78 817 66 30</w:t>
          </w:r>
        </w:p>
      </w:tc>
      <w:tc>
        <w:tcPr>
          <w:tcW w:w="2257" w:type="dxa"/>
          <w:tcBorders>
            <w:top w:val="none" w:sz="0" w:space="0" w:color="FFFFFF"/>
            <w:left w:val="none" w:sz="0" w:space="0" w:color="FFFFFF"/>
            <w:bottom w:val="none" w:sz="0" w:space="0" w:color="FFFFFF"/>
            <w:right w:val="single" w:sz="1" w:space="0" w:color="E0E0E0"/>
          </w:tcBorders>
          <w:tcMar>
            <w:top w:w="0" w:type="dxa"/>
            <w:left w:w="20" w:type="dxa"/>
            <w:bottom w:w="10" w:type="dxa"/>
            <w:right w:w="30" w:type="dxa"/>
          </w:tcMar>
        </w:tcPr>
        <w:p w14:paraId="220F4C6B" w14:textId="77777777" w:rsidR="00507BFC" w:rsidRDefault="003705CF">
          <w:pPr>
            <w:spacing w:after="18"/>
            <w:jc w:val="center"/>
          </w:pPr>
          <w:r>
            <w:rPr>
              <w:noProof/>
            </w:rPr>
            <w:drawing>
              <wp:inline distT="0" distB="0" distL="0" distR="0" wp14:anchorId="28500DCD" wp14:editId="222E2780">
                <wp:extent cx="390525" cy="390525"/>
                <wp:effectExtent l="0" t="0" r="0" b="0"/>
                <wp:docPr id="1262212282" name="sinha's_gmbh" descr="SINHA's GmbH" title="SINHA's Gm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90525" cy="390525"/>
                        </a:xfrm>
                        <a:prstGeom prst="rect">
                          <a:avLst/>
                        </a:prstGeom>
                      </pic:spPr>
                    </pic:pic>
                  </a:graphicData>
                </a:graphic>
              </wp:inline>
            </w:drawing>
          </w:r>
        </w:p>
        <w:p w14:paraId="3FF3660F" w14:textId="77777777" w:rsidR="00507BFC" w:rsidRDefault="003705CF">
          <w:pPr>
            <w:spacing w:after="8"/>
            <w:jc w:val="center"/>
          </w:pPr>
          <w:r>
            <w:rPr>
              <w:b/>
              <w:bCs/>
              <w:color w:val="C0392B"/>
              <w:sz w:val="14"/>
              <w:szCs w:val="14"/>
            </w:rPr>
            <w:t>SINHA'S GmbH</w:t>
          </w:r>
        </w:p>
        <w:p w14:paraId="779F2856" w14:textId="77777777" w:rsidR="00507BFC" w:rsidRDefault="003705CF">
          <w:pPr>
            <w:spacing w:after="5"/>
            <w:jc w:val="center"/>
          </w:pPr>
          <w:r>
            <w:rPr>
              <w:rFonts w:ascii="Courier New" w:eastAsia="Courier New" w:hAnsi="Courier New" w:cs="Courier New"/>
              <w:color w:val="888888"/>
              <w:sz w:val="12"/>
              <w:szCs w:val="12"/>
            </w:rPr>
            <w:t>CHE-442.073.260</w:t>
          </w:r>
        </w:p>
        <w:p w14:paraId="0BDBD273" w14:textId="73E9F951" w:rsidR="00507BFC" w:rsidRDefault="00B350F3">
          <w:pPr>
            <w:spacing w:after="5"/>
            <w:jc w:val="center"/>
          </w:pPr>
          <w:r>
            <w:rPr>
              <w:color w:val="4A5568"/>
              <w:sz w:val="12"/>
              <w:szCs w:val="12"/>
            </w:rPr>
            <w:t>Neugutstrasse 16, 8304 Wallisellen</w:t>
          </w:r>
        </w:p>
        <w:p w14:paraId="0B2532E3" w14:textId="77777777" w:rsidR="00507BFC" w:rsidRDefault="003705CF">
          <w:pPr>
            <w:jc w:val="center"/>
          </w:pPr>
          <w:r>
            <w:rPr>
              <w:b/>
              <w:bCs/>
              <w:color w:val="0D1F3C"/>
              <w:sz w:val="12"/>
              <w:szCs w:val="12"/>
            </w:rPr>
            <w:t>+41 78 817 66 30</w:t>
          </w:r>
        </w:p>
      </w:tc>
      <w:tc>
        <w:tcPr>
          <w:tcW w:w="2257" w:type="dxa"/>
          <w:tcBorders>
            <w:top w:val="none" w:sz="0" w:space="0" w:color="FFFFFF"/>
            <w:left w:val="none" w:sz="0" w:space="0" w:color="FFFFFF"/>
            <w:bottom w:val="none" w:sz="0" w:space="0" w:color="FFFFFF"/>
            <w:right w:val="single" w:sz="1" w:space="0" w:color="E0E0E0"/>
          </w:tcBorders>
          <w:tcMar>
            <w:top w:w="0" w:type="dxa"/>
            <w:left w:w="20" w:type="dxa"/>
            <w:bottom w:w="10" w:type="dxa"/>
            <w:right w:w="30" w:type="dxa"/>
          </w:tcMar>
        </w:tcPr>
        <w:p w14:paraId="2D1DEF48" w14:textId="77777777" w:rsidR="00507BFC" w:rsidRDefault="003705CF">
          <w:pPr>
            <w:spacing w:after="18"/>
            <w:jc w:val="center"/>
          </w:pPr>
          <w:r>
            <w:rPr>
              <w:noProof/>
            </w:rPr>
            <w:drawing>
              <wp:inline distT="0" distB="0" distL="0" distR="0" wp14:anchorId="5FAE0B8D" wp14:editId="32FE06F3">
                <wp:extent cx="390525" cy="390525"/>
                <wp:effectExtent l="0" t="0" r="0" b="0"/>
                <wp:docPr id="1208921764" name="sinha's_exim_gmbh" descr="SINHA's ExIm GmbH" title="SINHA's ExIm Gmb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390525" cy="390525"/>
                        </a:xfrm>
                        <a:prstGeom prst="rect">
                          <a:avLst/>
                        </a:prstGeom>
                      </pic:spPr>
                    </pic:pic>
                  </a:graphicData>
                </a:graphic>
              </wp:inline>
            </w:drawing>
          </w:r>
        </w:p>
        <w:p w14:paraId="70715533" w14:textId="77777777" w:rsidR="00507BFC" w:rsidRDefault="003705CF">
          <w:pPr>
            <w:spacing w:after="8"/>
            <w:jc w:val="center"/>
          </w:pPr>
          <w:r>
            <w:rPr>
              <w:b/>
              <w:bCs/>
              <w:color w:val="C0392B"/>
              <w:sz w:val="14"/>
              <w:szCs w:val="14"/>
            </w:rPr>
            <w:t>SINHA'S ExIm GmbH</w:t>
          </w:r>
        </w:p>
        <w:p w14:paraId="46DE80A2" w14:textId="77777777" w:rsidR="00507BFC" w:rsidRDefault="003705CF">
          <w:pPr>
            <w:spacing w:after="5"/>
            <w:jc w:val="center"/>
          </w:pPr>
          <w:r>
            <w:rPr>
              <w:rFonts w:ascii="Courier New" w:eastAsia="Courier New" w:hAnsi="Courier New" w:cs="Courier New"/>
              <w:color w:val="888888"/>
              <w:sz w:val="12"/>
              <w:szCs w:val="12"/>
            </w:rPr>
            <w:t>CHE-442.073.260</w:t>
          </w:r>
        </w:p>
        <w:p w14:paraId="60F9B179" w14:textId="77777777" w:rsidR="00507BFC" w:rsidRDefault="003705CF">
          <w:pPr>
            <w:spacing w:after="5"/>
            <w:jc w:val="center"/>
          </w:pPr>
          <w:r>
            <w:rPr>
              <w:color w:val="4A5568"/>
              <w:sz w:val="12"/>
              <w:szCs w:val="12"/>
            </w:rPr>
            <w:t>Chamerstrasse 176, 6300 Zug</w:t>
          </w:r>
        </w:p>
        <w:p w14:paraId="661A5B00" w14:textId="77777777" w:rsidR="00507BFC" w:rsidRDefault="003705CF">
          <w:pPr>
            <w:spacing w:after="5"/>
            <w:jc w:val="center"/>
          </w:pPr>
          <w:r>
            <w:rPr>
              <w:color w:val="4A5568"/>
              <w:sz w:val="12"/>
              <w:szCs w:val="12"/>
            </w:rPr>
            <w:t>Switzerland</w:t>
          </w:r>
        </w:p>
        <w:p w14:paraId="1C220C5C" w14:textId="77777777" w:rsidR="00507BFC" w:rsidRDefault="003705CF">
          <w:pPr>
            <w:jc w:val="center"/>
          </w:pPr>
          <w:r>
            <w:rPr>
              <w:b/>
              <w:bCs/>
              <w:color w:val="0D1F3C"/>
              <w:sz w:val="12"/>
              <w:szCs w:val="12"/>
            </w:rPr>
            <w:t>+41 78 817 66 30</w:t>
          </w:r>
        </w:p>
      </w:tc>
      <w:tc>
        <w:tcPr>
          <w:tcW w:w="2256" w:type="dxa"/>
          <w:tcBorders>
            <w:top w:val="none" w:sz="0" w:space="0" w:color="FFFFFF"/>
            <w:left w:val="none" w:sz="0" w:space="0" w:color="FFFFFF"/>
            <w:bottom w:val="none" w:sz="0" w:space="0" w:color="FFFFFF"/>
            <w:right w:val="none" w:sz="0" w:space="0" w:color="FFFFFF"/>
          </w:tcBorders>
          <w:tcMar>
            <w:top w:w="0" w:type="dxa"/>
            <w:left w:w="20" w:type="dxa"/>
            <w:bottom w:w="10" w:type="dxa"/>
            <w:right w:w="20" w:type="dxa"/>
          </w:tcMar>
        </w:tcPr>
        <w:p w14:paraId="6140D47A" w14:textId="77777777" w:rsidR="00507BFC" w:rsidRDefault="003705CF">
          <w:pPr>
            <w:spacing w:after="18"/>
            <w:jc w:val="center"/>
          </w:pPr>
          <w:r>
            <w:rPr>
              <w:noProof/>
            </w:rPr>
            <w:drawing>
              <wp:inline distT="0" distB="0" distL="0" distR="0" wp14:anchorId="565D733D" wp14:editId="5A1AD8A1">
                <wp:extent cx="390525" cy="390525"/>
                <wp:effectExtent l="0" t="0" r="0" b="0"/>
                <wp:docPr id="1554988434" name="sinha's_swiss_india" descr="SINHA's Swiss India" title="SINHA's Swiss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
                        <a:srcRect/>
                        <a:stretch>
                          <a:fillRect/>
                        </a:stretch>
                      </pic:blipFill>
                      <pic:spPr bwMode="auto">
                        <a:xfrm>
                          <a:off x="0" y="0"/>
                          <a:ext cx="390525" cy="390525"/>
                        </a:xfrm>
                        <a:prstGeom prst="rect">
                          <a:avLst/>
                        </a:prstGeom>
                      </pic:spPr>
                    </pic:pic>
                  </a:graphicData>
                </a:graphic>
              </wp:inline>
            </w:drawing>
          </w:r>
        </w:p>
        <w:p w14:paraId="0F2428DC" w14:textId="4A1B4029" w:rsidR="00507BFC" w:rsidRDefault="003705CF">
          <w:pPr>
            <w:spacing w:after="8"/>
            <w:jc w:val="center"/>
          </w:pPr>
          <w:r>
            <w:rPr>
              <w:b/>
              <w:bCs/>
              <w:color w:val="C0392B"/>
              <w:sz w:val="14"/>
              <w:szCs w:val="14"/>
            </w:rPr>
            <w:t>SINHA'S S</w:t>
          </w:r>
          <w:r>
            <w:rPr>
              <w:b/>
              <w:bCs/>
              <w:color w:val="C0392B"/>
              <w:sz w:val="14"/>
              <w:szCs w:val="14"/>
              <w:lang w:val="en-IN"/>
            </w:rPr>
            <w:t>WISS</w:t>
          </w:r>
          <w:r>
            <w:rPr>
              <w:b/>
              <w:bCs/>
              <w:color w:val="C0392B"/>
              <w:sz w:val="14"/>
              <w:szCs w:val="14"/>
            </w:rPr>
            <w:t xml:space="preserve"> I</w:t>
          </w:r>
          <w:r>
            <w:rPr>
              <w:b/>
              <w:bCs/>
              <w:color w:val="C0392B"/>
              <w:sz w:val="14"/>
              <w:szCs w:val="14"/>
              <w:lang w:val="en-IN"/>
            </w:rPr>
            <w:t>NDIA</w:t>
          </w:r>
          <w:r>
            <w:rPr>
              <w:b/>
              <w:bCs/>
              <w:color w:val="C0392B"/>
              <w:sz w:val="14"/>
              <w:szCs w:val="14"/>
            </w:rPr>
            <w:t xml:space="preserve"> P</w:t>
          </w:r>
          <w:r>
            <w:rPr>
              <w:b/>
              <w:bCs/>
              <w:color w:val="C0392B"/>
              <w:sz w:val="14"/>
              <w:szCs w:val="14"/>
              <w:lang w:val="en-IN"/>
            </w:rPr>
            <w:t>VT</w:t>
          </w:r>
          <w:r>
            <w:rPr>
              <w:b/>
              <w:bCs/>
              <w:color w:val="C0392B"/>
              <w:sz w:val="14"/>
              <w:szCs w:val="14"/>
            </w:rPr>
            <w:t>. LTD.</w:t>
          </w:r>
        </w:p>
        <w:p w14:paraId="79403FE8" w14:textId="77777777" w:rsidR="00507BFC" w:rsidRDefault="003705CF">
          <w:pPr>
            <w:spacing w:after="5"/>
            <w:jc w:val="center"/>
            <w:rPr>
              <w:rFonts w:ascii="Courier New" w:eastAsia="Courier New" w:hAnsi="Courier New" w:cs="Courier New"/>
              <w:color w:val="888888"/>
              <w:sz w:val="12"/>
              <w:szCs w:val="12"/>
              <w:lang w:val="en-IN"/>
            </w:rPr>
          </w:pPr>
          <w:r>
            <w:rPr>
              <w:rFonts w:ascii="Courier New" w:eastAsia="Courier New" w:hAnsi="Courier New" w:cs="Courier New"/>
              <w:color w:val="888888"/>
              <w:sz w:val="12"/>
              <w:szCs w:val="12"/>
            </w:rPr>
            <w:t>CIN: U47890KA2024PTC190970</w:t>
          </w:r>
        </w:p>
        <w:p w14:paraId="24896989" w14:textId="05965E13" w:rsidR="00842A1E" w:rsidRPr="00842A1E" w:rsidRDefault="00842A1E" w:rsidP="00842A1E">
          <w:pPr>
            <w:spacing w:after="5"/>
            <w:jc w:val="center"/>
            <w:rPr>
              <w:color w:val="4A5568"/>
              <w:sz w:val="12"/>
              <w:szCs w:val="12"/>
            </w:rPr>
          </w:pPr>
          <w:r w:rsidRPr="00842A1E">
            <w:rPr>
              <w:color w:val="4A5568"/>
              <w:sz w:val="12"/>
              <w:szCs w:val="12"/>
            </w:rPr>
            <w:t>#198, CMH Road, 2nd Floor, Suite</w:t>
          </w:r>
          <w:r>
            <w:rPr>
              <w:color w:val="4A5568"/>
              <w:sz w:val="12"/>
              <w:szCs w:val="12"/>
            </w:rPr>
            <w:t xml:space="preserve"> </w:t>
          </w:r>
          <w:r w:rsidRPr="00842A1E">
            <w:rPr>
              <w:color w:val="4A5568"/>
              <w:sz w:val="12"/>
              <w:szCs w:val="12"/>
            </w:rPr>
            <w:t>#3571,Indiranagar</w:t>
          </w:r>
        </w:p>
        <w:p w14:paraId="30E0AC21" w14:textId="7523B849" w:rsidR="00507BFC" w:rsidRDefault="003705CF">
          <w:pPr>
            <w:spacing w:after="5"/>
            <w:jc w:val="center"/>
          </w:pPr>
          <w:r>
            <w:rPr>
              <w:color w:val="4A5568"/>
              <w:sz w:val="12"/>
              <w:szCs w:val="12"/>
            </w:rPr>
            <w:t>Bengaluru</w:t>
          </w:r>
          <w:r w:rsidR="00842A1E">
            <w:rPr>
              <w:color w:val="4A5568"/>
              <w:sz w:val="12"/>
              <w:szCs w:val="12"/>
              <w:lang w:val="en-IN"/>
            </w:rPr>
            <w:t xml:space="preserve"> 560038</w:t>
          </w:r>
          <w:r>
            <w:rPr>
              <w:color w:val="4A5568"/>
              <w:sz w:val="12"/>
              <w:szCs w:val="12"/>
            </w:rPr>
            <w:t>, India</w:t>
          </w:r>
        </w:p>
        <w:p w14:paraId="363849C7" w14:textId="77777777" w:rsidR="00507BFC" w:rsidRDefault="003705CF">
          <w:pPr>
            <w:jc w:val="center"/>
          </w:pPr>
          <w:r>
            <w:rPr>
              <w:b/>
              <w:bCs/>
              <w:color w:val="0D1F3C"/>
              <w:sz w:val="12"/>
              <w:szCs w:val="12"/>
            </w:rPr>
            <w:t>+91 70429 28080</w:t>
          </w:r>
        </w:p>
      </w:tc>
    </w:tr>
  </w:tbl>
  <w:p w14:paraId="635F377B" w14:textId="77777777" w:rsidR="00507BFC" w:rsidRDefault="003705CF">
    <w:pPr>
      <w:pBdr>
        <w:top w:val="single" w:sz="2" w:space="0" w:color="E0E0E0"/>
      </w:pBdr>
      <w:spacing w:before="24"/>
      <w:jc w:val="center"/>
    </w:pPr>
    <w:r>
      <w:rPr>
        <w:color w:val="888888"/>
        <w:sz w:val="15"/>
        <w:szCs w:val="15"/>
      </w:rPr>
      <w:t xml:space="preserve">Page </w:t>
    </w:r>
    <w:r>
      <w:rPr>
        <w:color w:val="888888"/>
        <w:sz w:val="15"/>
        <w:szCs w:val="15"/>
      </w:rPr>
      <w:fldChar w:fldCharType="begin"/>
    </w:r>
    <w:r>
      <w:rPr>
        <w:color w:val="888888"/>
        <w:sz w:val="15"/>
        <w:szCs w:val="15"/>
      </w:rPr>
      <w:instrText>PAGE</w:instrText>
    </w:r>
    <w:r>
      <w:rPr>
        <w:color w:val="888888"/>
        <w:sz w:val="15"/>
        <w:szCs w:val="15"/>
      </w:rPr>
      <w:fldChar w:fldCharType="separate"/>
    </w:r>
    <w:r w:rsidR="00405BEA">
      <w:rPr>
        <w:noProof/>
        <w:color w:val="888888"/>
        <w:sz w:val="15"/>
        <w:szCs w:val="15"/>
      </w:rPr>
      <w:t>1</w:t>
    </w:r>
    <w:r>
      <w:rPr>
        <w:color w:val="888888"/>
        <w:sz w:val="15"/>
        <w:szCs w:val="15"/>
      </w:rPr>
      <w:fldChar w:fldCharType="end"/>
    </w:r>
    <w:r>
      <w:rPr>
        <w:color w:val="888888"/>
        <w:sz w:val="15"/>
        <w:szCs w:val="15"/>
      </w:rPr>
      <w:t xml:space="preserve"> of </w:t>
    </w:r>
    <w:r>
      <w:rPr>
        <w:color w:val="888888"/>
        <w:sz w:val="15"/>
        <w:szCs w:val="15"/>
      </w:rPr>
      <w:fldChar w:fldCharType="begin"/>
    </w:r>
    <w:r>
      <w:rPr>
        <w:color w:val="888888"/>
        <w:sz w:val="15"/>
        <w:szCs w:val="15"/>
      </w:rPr>
      <w:instrText>NUMPAGES</w:instrText>
    </w:r>
    <w:r>
      <w:rPr>
        <w:color w:val="888888"/>
        <w:sz w:val="15"/>
        <w:szCs w:val="15"/>
      </w:rPr>
      <w:fldChar w:fldCharType="separate"/>
    </w:r>
    <w:r w:rsidR="00405BEA">
      <w:rPr>
        <w:noProof/>
        <w:color w:val="888888"/>
        <w:sz w:val="15"/>
        <w:szCs w:val="15"/>
      </w:rPr>
      <w:t>1</w:t>
    </w:r>
    <w:r>
      <w:rPr>
        <w:color w:val="888888"/>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7063" w14:textId="77777777" w:rsidR="00E6191A" w:rsidRDefault="00E6191A">
      <w:r>
        <w:separator/>
      </w:r>
    </w:p>
  </w:footnote>
  <w:footnote w:type="continuationSeparator" w:id="0">
    <w:p w14:paraId="1ED81785" w14:textId="77777777" w:rsidR="00E6191A" w:rsidRDefault="00E619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8FE45" w14:textId="77777777" w:rsidR="00507BFC" w:rsidRDefault="00507BFC">
    <w:pPr>
      <w:pBdr>
        <w:top w:val="single" w:sz="24" w:space="0" w:color="C22228"/>
      </w:pBdr>
    </w:pPr>
  </w:p>
  <w:p w14:paraId="2A41580F" w14:textId="77777777" w:rsidR="00507BFC" w:rsidRDefault="003705CF">
    <w:pPr>
      <w:spacing w:before="30"/>
      <w:jc w:val="center"/>
    </w:pPr>
    <w:r>
      <w:rPr>
        <w:b/>
        <w:bCs/>
        <w:color w:val="C22228"/>
        <w:spacing w:val="40"/>
        <w:sz w:val="32"/>
        <w:szCs w:val="32"/>
      </w:rPr>
      <w:t>SINHA’S</w:t>
    </w:r>
  </w:p>
  <w:p w14:paraId="0B6F81D9" w14:textId="77777777" w:rsidR="00507BFC" w:rsidRDefault="003705CF">
    <w:pPr>
      <w:spacing w:after="30"/>
      <w:jc w:val="center"/>
      <w:rPr>
        <w:color w:val="0D1F3C"/>
        <w:spacing w:val="60"/>
        <w:sz w:val="14"/>
        <w:szCs w:val="14"/>
      </w:rPr>
    </w:pPr>
    <w:r>
      <w:rPr>
        <w:color w:val="0D1F3C"/>
        <w:spacing w:val="60"/>
        <w:sz w:val="14"/>
        <w:szCs w:val="14"/>
      </w:rPr>
      <w:t>GROUP OF COMPANIES</w:t>
    </w:r>
  </w:p>
  <w:p w14:paraId="12CD2104" w14:textId="0210977D" w:rsidR="00F71AC1" w:rsidRDefault="00F71AC1" w:rsidP="00F71AC1">
    <w:pPr>
      <w:spacing w:after="40" w:line="320" w:lineRule="auto"/>
      <w:jc w:val="center"/>
      <w:rPr>
        <w:i/>
        <w:iCs/>
        <w:color w:val="999999"/>
        <w:sz w:val="17"/>
        <w:szCs w:val="17"/>
      </w:rPr>
    </w:pPr>
    <w:r>
      <w:rPr>
        <w:i/>
        <w:iCs/>
        <w:color w:val="999999"/>
        <w:sz w:val="17"/>
        <w:szCs w:val="17"/>
      </w:rPr>
      <w:t>Chamerstrasse 176 · 6300 Zug</w:t>
    </w:r>
  </w:p>
  <w:p w14:paraId="122FF04F" w14:textId="77777777" w:rsidR="00F71AC1" w:rsidRDefault="00F71AC1" w:rsidP="00F71AC1">
    <w:pPr>
      <w:spacing w:after="5"/>
      <w:jc w:val="center"/>
    </w:pPr>
    <w:r>
      <w:rPr>
        <w:color w:val="4A5568"/>
        <w:sz w:val="12"/>
        <w:szCs w:val="12"/>
      </w:rPr>
      <w:t>Neugutstrasse 16, 8304 Wallisellen</w:t>
    </w:r>
  </w:p>
  <w:p w14:paraId="28420AE4" w14:textId="77777777" w:rsidR="00507BFC" w:rsidRDefault="00507BF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53D87"/>
    <w:multiLevelType w:val="hybridMultilevel"/>
    <w:tmpl w:val="47CA99F8"/>
    <w:lvl w:ilvl="0" w:tplc="2F567E58">
      <w:start w:val="1"/>
      <w:numFmt w:val="bullet"/>
      <w:lvlText w:val="●"/>
      <w:lvlJc w:val="left"/>
      <w:pPr>
        <w:ind w:left="720" w:hanging="360"/>
      </w:pPr>
    </w:lvl>
    <w:lvl w:ilvl="1" w:tplc="8EBAEC9E">
      <w:start w:val="1"/>
      <w:numFmt w:val="bullet"/>
      <w:lvlText w:val="○"/>
      <w:lvlJc w:val="left"/>
      <w:pPr>
        <w:ind w:left="1440" w:hanging="360"/>
      </w:pPr>
    </w:lvl>
    <w:lvl w:ilvl="2" w:tplc="0B840F00">
      <w:start w:val="1"/>
      <w:numFmt w:val="bullet"/>
      <w:lvlText w:val="■"/>
      <w:lvlJc w:val="left"/>
      <w:pPr>
        <w:ind w:left="2160" w:hanging="360"/>
      </w:pPr>
    </w:lvl>
    <w:lvl w:ilvl="3" w:tplc="CD606CEC">
      <w:start w:val="1"/>
      <w:numFmt w:val="bullet"/>
      <w:lvlText w:val="●"/>
      <w:lvlJc w:val="left"/>
      <w:pPr>
        <w:ind w:left="2880" w:hanging="360"/>
      </w:pPr>
    </w:lvl>
    <w:lvl w:ilvl="4" w:tplc="3AE83DB0">
      <w:start w:val="1"/>
      <w:numFmt w:val="bullet"/>
      <w:lvlText w:val="○"/>
      <w:lvlJc w:val="left"/>
      <w:pPr>
        <w:ind w:left="3600" w:hanging="360"/>
      </w:pPr>
    </w:lvl>
    <w:lvl w:ilvl="5" w:tplc="146A7E0A">
      <w:start w:val="1"/>
      <w:numFmt w:val="bullet"/>
      <w:lvlText w:val="■"/>
      <w:lvlJc w:val="left"/>
      <w:pPr>
        <w:ind w:left="4320" w:hanging="360"/>
      </w:pPr>
    </w:lvl>
    <w:lvl w:ilvl="6" w:tplc="E02699FC">
      <w:start w:val="1"/>
      <w:numFmt w:val="bullet"/>
      <w:lvlText w:val="●"/>
      <w:lvlJc w:val="left"/>
      <w:pPr>
        <w:ind w:left="5040" w:hanging="360"/>
      </w:pPr>
    </w:lvl>
    <w:lvl w:ilvl="7" w:tplc="FBDA9E32">
      <w:start w:val="1"/>
      <w:numFmt w:val="bullet"/>
      <w:lvlText w:val="●"/>
      <w:lvlJc w:val="left"/>
      <w:pPr>
        <w:ind w:left="5760" w:hanging="360"/>
      </w:pPr>
    </w:lvl>
    <w:lvl w:ilvl="8" w:tplc="63C618CE">
      <w:start w:val="1"/>
      <w:numFmt w:val="bullet"/>
      <w:lvlText w:val="●"/>
      <w:lvlJc w:val="left"/>
      <w:pPr>
        <w:ind w:left="6480" w:hanging="360"/>
      </w:pPr>
    </w:lvl>
  </w:abstractNum>
  <w:num w:numId="1" w16cid:durableId="21270398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FC"/>
    <w:rsid w:val="0020360F"/>
    <w:rsid w:val="00225433"/>
    <w:rsid w:val="00300838"/>
    <w:rsid w:val="00316962"/>
    <w:rsid w:val="00353457"/>
    <w:rsid w:val="003705CF"/>
    <w:rsid w:val="00372F63"/>
    <w:rsid w:val="00405BEA"/>
    <w:rsid w:val="004116BA"/>
    <w:rsid w:val="00507BFC"/>
    <w:rsid w:val="005258F9"/>
    <w:rsid w:val="00593949"/>
    <w:rsid w:val="00677D41"/>
    <w:rsid w:val="006812CB"/>
    <w:rsid w:val="00682508"/>
    <w:rsid w:val="00755236"/>
    <w:rsid w:val="008105E4"/>
    <w:rsid w:val="00842A1E"/>
    <w:rsid w:val="00A25643"/>
    <w:rsid w:val="00A54199"/>
    <w:rsid w:val="00A95CA1"/>
    <w:rsid w:val="00AE19D8"/>
    <w:rsid w:val="00B350F3"/>
    <w:rsid w:val="00B7338E"/>
    <w:rsid w:val="00B75CAA"/>
    <w:rsid w:val="00C17D8E"/>
    <w:rsid w:val="00C311A8"/>
    <w:rsid w:val="00CC2CBF"/>
    <w:rsid w:val="00D27BAE"/>
    <w:rsid w:val="00E323B2"/>
    <w:rsid w:val="00E6191A"/>
    <w:rsid w:val="00EB2033"/>
    <w:rsid w:val="00F71AC1"/>
    <w:rsid w:val="00FA727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A993B"/>
  <w15:docId w15:val="{0C56EE15-0429-194A-B672-06FF3150F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4"/>
        <w:szCs w:val="24"/>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42A1E"/>
    <w:pPr>
      <w:tabs>
        <w:tab w:val="center" w:pos="4513"/>
        <w:tab w:val="right" w:pos="9026"/>
      </w:tabs>
    </w:pPr>
  </w:style>
  <w:style w:type="character" w:customStyle="1" w:styleId="HeaderChar">
    <w:name w:val="Header Char"/>
    <w:basedOn w:val="DefaultParagraphFont"/>
    <w:link w:val="Header"/>
    <w:uiPriority w:val="99"/>
    <w:rsid w:val="00842A1E"/>
  </w:style>
  <w:style w:type="paragraph" w:styleId="Footer">
    <w:name w:val="footer"/>
    <w:basedOn w:val="Normal"/>
    <w:link w:val="FooterChar"/>
    <w:uiPriority w:val="99"/>
    <w:unhideWhenUsed/>
    <w:rsid w:val="00842A1E"/>
    <w:pPr>
      <w:tabs>
        <w:tab w:val="center" w:pos="4513"/>
        <w:tab w:val="right" w:pos="9026"/>
      </w:tabs>
    </w:pPr>
  </w:style>
  <w:style w:type="character" w:customStyle="1" w:styleId="FooterChar">
    <w:name w:val="Footer Char"/>
    <w:basedOn w:val="DefaultParagraphFont"/>
    <w:link w:val="Footer"/>
    <w:uiPriority w:val="99"/>
    <w:rsid w:val="00842A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Rajeev Kumar Sinha</cp:lastModifiedBy>
  <cp:revision>10</cp:revision>
  <cp:lastPrinted>2026-04-01T15:51:00Z</cp:lastPrinted>
  <dcterms:created xsi:type="dcterms:W3CDTF">2026-03-28T22:11:00Z</dcterms:created>
  <dcterms:modified xsi:type="dcterms:W3CDTF">2026-04-20T08:38:00Z</dcterms:modified>
</cp:coreProperties>
</file>